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080AAE15"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9E4BEE">
        <w:rPr>
          <w:rFonts w:cs="Arial"/>
          <w:bCs/>
          <w:noProof w:val="0"/>
          <w:sz w:val="24"/>
          <w:szCs w:val="24"/>
        </w:rPr>
        <w:t>4815</w:t>
      </w:r>
    </w:p>
    <w:bookmarkEnd w:id="0"/>
    <w:p w14:paraId="5669B020" w14:textId="3A468387"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F36DA6" w:rsidRPr="000665EA">
        <w:rPr>
          <w:rFonts w:eastAsia="MS Mincho" w:cs="Arial"/>
          <w:sz w:val="24"/>
          <w:szCs w:val="24"/>
        </w:rPr>
        <w:t xml:space="preserve"> </w:t>
      </w:r>
      <w:r w:rsidR="00477911">
        <w:rPr>
          <w:rFonts w:eastAsia="MS Mincho" w:cs="Arial"/>
          <w:sz w:val="24"/>
          <w:szCs w:val="24"/>
        </w:rPr>
        <w:t xml:space="preserve">– </w:t>
      </w:r>
      <w:r w:rsidR="00762711">
        <w:rPr>
          <w:rFonts w:eastAsia="MS Mincho" w:cs="Arial"/>
          <w:sz w:val="24"/>
          <w:szCs w:val="24"/>
        </w:rPr>
        <w:t>1</w:t>
      </w:r>
      <w:r w:rsidR="009E24D9">
        <w:rPr>
          <w:rFonts w:eastAsia="MS Mincho" w:cs="Arial"/>
          <w:sz w:val="24"/>
          <w:szCs w:val="24"/>
        </w:rPr>
        <w:t>1</w:t>
      </w:r>
      <w:r w:rsidR="00477911">
        <w:rPr>
          <w:rFonts w:eastAsia="MS Mincho" w:cs="Arial"/>
          <w:sz w:val="24"/>
          <w:szCs w:val="24"/>
        </w:rPr>
        <w:t xml:space="preserve"> </w:t>
      </w:r>
      <w:r w:rsidR="00762711">
        <w:rPr>
          <w:rFonts w:eastAsia="MS Mincho" w:cs="Arial"/>
          <w:sz w:val="24"/>
          <w:szCs w:val="24"/>
        </w:rPr>
        <w:t>November</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0C988459"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C00CB0">
        <w:rPr>
          <w:rFonts w:cs="Arial"/>
          <w:b/>
          <w:bCs/>
          <w:sz w:val="24"/>
        </w:rPr>
        <w:t>10.5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0478B20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00CB0">
        <w:rPr>
          <w:rFonts w:ascii="Arial" w:hAnsi="Arial" w:cs="Arial"/>
          <w:b/>
          <w:bCs/>
          <w:sz w:val="24"/>
        </w:rPr>
        <w:t>Discussion on the remaining “FFS” statements</w:t>
      </w:r>
      <w:r w:rsidR="009E4BEE">
        <w:rPr>
          <w:rFonts w:ascii="Arial" w:hAnsi="Arial" w:cs="Arial"/>
          <w:b/>
          <w:bCs/>
          <w:sz w:val="24"/>
        </w:rPr>
        <w:t xml:space="preserve"> for MLB and MRO optimisation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7FE59EC" w14:textId="77777777" w:rsidR="00C47484" w:rsidRDefault="00C47484" w:rsidP="00C47484">
      <w:bookmarkStart w:id="1" w:name="_Toc474247438"/>
      <w:r>
        <w:t>At RAN3 #113-e, a way forward has been decided regarding the load reporting for NR-U:</w:t>
      </w:r>
    </w:p>
    <w:p w14:paraId="53CCA7C5" w14:textId="77777777" w:rsidR="00C47484" w:rsidRDefault="00C47484" w:rsidP="00C47484">
      <w:pPr>
        <w:rPr>
          <w:b/>
          <w:bCs/>
          <w:color w:val="00B050"/>
          <w:sz w:val="18"/>
          <w:szCs w:val="18"/>
          <w:lang w:eastAsia="en-GB"/>
        </w:rPr>
      </w:pPr>
      <w:r>
        <w:rPr>
          <w:b/>
          <w:bCs/>
          <w:color w:val="00B050"/>
          <w:sz w:val="18"/>
          <w:szCs w:val="18"/>
        </w:rPr>
        <w:t xml:space="preserve">- To report, as part of load information for cells supporting NR-U, information about the time when the cell resources of the NR-U cell were accessible, </w:t>
      </w:r>
      <w:proofErr w:type="gramStart"/>
      <w:r>
        <w:rPr>
          <w:b/>
          <w:bCs/>
          <w:color w:val="00B050"/>
          <w:sz w:val="18"/>
          <w:szCs w:val="18"/>
        </w:rPr>
        <w:t>i.e.</w:t>
      </w:r>
      <w:proofErr w:type="gramEnd"/>
      <w:r>
        <w:rPr>
          <w:b/>
          <w:bCs/>
          <w:color w:val="00B050"/>
          <w:sz w:val="18"/>
          <w:szCs w:val="18"/>
        </w:rPr>
        <w:t xml:space="preserve"> when access to such resources by means of LBT was successful</w:t>
      </w:r>
    </w:p>
    <w:p w14:paraId="6D4D2620" w14:textId="77777777" w:rsidR="00C47484" w:rsidRDefault="00C47484" w:rsidP="00C47484">
      <w:pPr>
        <w:rPr>
          <w:b/>
          <w:bCs/>
          <w:color w:val="00B050"/>
          <w:sz w:val="18"/>
          <w:szCs w:val="18"/>
        </w:rPr>
      </w:pPr>
      <w:r>
        <w:rPr>
          <w:b/>
          <w:bCs/>
          <w:color w:val="00B050"/>
          <w:sz w:val="18"/>
          <w:szCs w:val="18"/>
        </w:rPr>
        <w:t xml:space="preserve">- During the time when NR-U resources are accessible, to report load metrics currently in the </w:t>
      </w:r>
      <w:proofErr w:type="spellStart"/>
      <w:r>
        <w:rPr>
          <w:b/>
          <w:bCs/>
          <w:color w:val="00B050"/>
          <w:sz w:val="18"/>
          <w:szCs w:val="18"/>
        </w:rPr>
        <w:t>Xn</w:t>
      </w:r>
      <w:proofErr w:type="spellEnd"/>
      <w:r>
        <w:rPr>
          <w:b/>
          <w:bCs/>
          <w:color w:val="00B050"/>
          <w:sz w:val="18"/>
          <w:szCs w:val="18"/>
        </w:rPr>
        <w:t xml:space="preserve">: Resource Status Update </w:t>
      </w:r>
    </w:p>
    <w:p w14:paraId="43BC999A" w14:textId="77777777" w:rsidR="00C47484" w:rsidRDefault="00C47484" w:rsidP="00C47484">
      <w:pPr>
        <w:rPr>
          <w:b/>
          <w:bCs/>
          <w:color w:val="00B050"/>
          <w:sz w:val="18"/>
          <w:szCs w:val="18"/>
        </w:rPr>
      </w:pPr>
      <w:r>
        <w:rPr>
          <w:b/>
          <w:bCs/>
          <w:color w:val="00B050"/>
          <w:sz w:val="18"/>
          <w:szCs w:val="18"/>
        </w:rPr>
        <w:t>- To report such load metrics on a per cell and per NR-U channel (20MHz) granularity</w:t>
      </w:r>
    </w:p>
    <w:p w14:paraId="355D8C14" w14:textId="77777777" w:rsidR="00C47484" w:rsidRDefault="00C47484" w:rsidP="00C47484">
      <w:r>
        <w:t xml:space="preserve">Also, in the summary of the discussion [1], a possible format for the load information was proposed. This structure contains several </w:t>
      </w:r>
      <w:proofErr w:type="spellStart"/>
      <w:r>
        <w:t>FFSes</w:t>
      </w:r>
      <w:proofErr w:type="spellEnd"/>
      <w:r>
        <w:t>, which we address in this paper.</w:t>
      </w:r>
    </w:p>
    <w:p w14:paraId="60D39AA7" w14:textId="77777777" w:rsidR="00C47484" w:rsidRDefault="00C47484" w:rsidP="00C47484">
      <w:r>
        <w:t>The following were also agreed:</w:t>
      </w:r>
    </w:p>
    <w:p w14:paraId="30E0EC22" w14:textId="77777777" w:rsidR="00C47484" w:rsidRPr="00506EDA" w:rsidRDefault="00C47484" w:rsidP="00C47484">
      <w:pPr>
        <w:rPr>
          <w:b/>
          <w:bCs/>
          <w:iCs/>
          <w:color w:val="00B050"/>
          <w:sz w:val="18"/>
          <w:szCs w:val="18"/>
          <w:lang w:val="en-US"/>
        </w:rPr>
      </w:pPr>
      <w:r w:rsidRPr="00506EDA">
        <w:rPr>
          <w:b/>
          <w:bCs/>
          <w:iCs/>
          <w:color w:val="00B050"/>
          <w:sz w:val="18"/>
          <w:szCs w:val="18"/>
          <w:lang w:val="en-US"/>
        </w:rPr>
        <w:t xml:space="preserve">It is agreed that RAN3 analyses the applicability of the current MRO solution to NR-U. </w:t>
      </w:r>
    </w:p>
    <w:p w14:paraId="3FCFAAAB" w14:textId="77777777" w:rsidR="00C47484" w:rsidRPr="00506EDA" w:rsidRDefault="00C47484" w:rsidP="00C47484">
      <w:pPr>
        <w:numPr>
          <w:ilvl w:val="0"/>
          <w:numId w:val="40"/>
        </w:numPr>
        <w:rPr>
          <w:b/>
          <w:bCs/>
          <w:iCs/>
          <w:color w:val="00B050"/>
          <w:sz w:val="18"/>
          <w:szCs w:val="18"/>
          <w:lang w:val="en-US"/>
        </w:rPr>
      </w:pPr>
      <w:r w:rsidRPr="00506EDA">
        <w:rPr>
          <w:b/>
          <w:bCs/>
          <w:iCs/>
          <w:color w:val="00B050"/>
          <w:sz w:val="18"/>
          <w:szCs w:val="18"/>
          <w:lang w:val="en-US"/>
        </w:rPr>
        <w:t>Shortfalls in the MRO solution with respect to NR-U deployments should be identified (if any)</w:t>
      </w:r>
    </w:p>
    <w:p w14:paraId="1CD3458E" w14:textId="77777777" w:rsidR="00C47484" w:rsidRPr="00506EDA" w:rsidRDefault="00C47484" w:rsidP="00C47484">
      <w:pPr>
        <w:numPr>
          <w:ilvl w:val="0"/>
          <w:numId w:val="40"/>
        </w:numPr>
        <w:rPr>
          <w:b/>
          <w:bCs/>
          <w:iCs/>
          <w:color w:val="00B050"/>
          <w:sz w:val="18"/>
          <w:szCs w:val="18"/>
          <w:lang w:val="en-US"/>
        </w:rPr>
      </w:pPr>
      <w:r w:rsidRPr="00506EDA">
        <w:rPr>
          <w:b/>
          <w:bCs/>
          <w:iCs/>
          <w:color w:val="00B050"/>
          <w:sz w:val="18"/>
          <w:szCs w:val="18"/>
          <w:lang w:val="en-US"/>
        </w:rPr>
        <w:t>Solutions (if any) should be described and possibly agreed</w:t>
      </w:r>
    </w:p>
    <w:p w14:paraId="70200D7C" w14:textId="77777777" w:rsidR="00C47484" w:rsidRPr="00506EDA" w:rsidRDefault="00C47484" w:rsidP="00C47484">
      <w:pPr>
        <w:numPr>
          <w:ilvl w:val="0"/>
          <w:numId w:val="40"/>
        </w:numPr>
        <w:rPr>
          <w:b/>
          <w:bCs/>
          <w:iCs/>
          <w:color w:val="00B050"/>
          <w:sz w:val="18"/>
          <w:szCs w:val="18"/>
          <w:lang w:val="en-US"/>
        </w:rPr>
      </w:pPr>
      <w:r w:rsidRPr="00506EDA">
        <w:rPr>
          <w:b/>
          <w:bCs/>
          <w:iCs/>
          <w:color w:val="00B050"/>
          <w:sz w:val="18"/>
          <w:szCs w:val="18"/>
          <w:lang w:val="en-US"/>
        </w:rPr>
        <w:t xml:space="preserve">Once the use case and needed solutions are identified, RAN3 should involve RAN2 for further progress and convergence </w:t>
      </w:r>
    </w:p>
    <w:p w14:paraId="18B23108" w14:textId="77777777" w:rsidR="00C47484" w:rsidRPr="00506EDA" w:rsidRDefault="00C47484" w:rsidP="00C47484">
      <w:pPr>
        <w:rPr>
          <w:b/>
          <w:bCs/>
          <w:iCs/>
          <w:color w:val="00B050"/>
          <w:sz w:val="18"/>
          <w:szCs w:val="18"/>
          <w:lang w:val="en-US"/>
        </w:rPr>
      </w:pPr>
      <w:r w:rsidRPr="00506EDA">
        <w:rPr>
          <w:b/>
          <w:bCs/>
          <w:iCs/>
          <w:color w:val="00B050"/>
          <w:sz w:val="18"/>
          <w:szCs w:val="18"/>
          <w:lang w:val="en-US"/>
        </w:rPr>
        <w:t xml:space="preserve">It is agreed that HO failure cases are prioritized when </w:t>
      </w:r>
      <w:proofErr w:type="spellStart"/>
      <w:r w:rsidRPr="00506EDA">
        <w:rPr>
          <w:b/>
          <w:bCs/>
          <w:iCs/>
          <w:color w:val="00B050"/>
          <w:sz w:val="18"/>
          <w:szCs w:val="18"/>
          <w:lang w:val="en-US"/>
        </w:rPr>
        <w:t>analysing</w:t>
      </w:r>
      <w:proofErr w:type="spellEnd"/>
      <w:r w:rsidRPr="00506EDA">
        <w:rPr>
          <w:b/>
          <w:bCs/>
          <w:iCs/>
          <w:color w:val="00B050"/>
          <w:sz w:val="18"/>
          <w:szCs w:val="18"/>
          <w:lang w:val="en-US"/>
        </w:rPr>
        <w:t xml:space="preserve"> whether MRO needs improvements for NR-U deployments.</w:t>
      </w:r>
    </w:p>
    <w:p w14:paraId="68CC32A2" w14:textId="419F4607" w:rsidR="00CF56AB" w:rsidRPr="00C47484" w:rsidRDefault="00CF56AB" w:rsidP="008572DC">
      <w:pPr>
        <w:rPr>
          <w:lang w:val="en-US"/>
        </w:rPr>
      </w:pP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123B8D6" w14:textId="77777777" w:rsidR="00E4441E" w:rsidRDefault="00E4441E" w:rsidP="00E4441E">
      <w:pPr>
        <w:pStyle w:val="Heading2"/>
      </w:pPr>
      <w:r>
        <w:t>2.1</w:t>
      </w:r>
      <w:r>
        <w:tab/>
        <w:t>MLB</w:t>
      </w:r>
    </w:p>
    <w:p w14:paraId="57039105" w14:textId="46740A0F" w:rsidR="008559D6" w:rsidRDefault="00163B58" w:rsidP="008559D6">
      <w:r>
        <w:t>The proposed load reporting format is as follows:</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63B58" w:rsidRPr="00C017E2" w14:paraId="076A7850" w14:textId="77777777" w:rsidTr="00F47591">
        <w:tc>
          <w:tcPr>
            <w:tcW w:w="2437" w:type="dxa"/>
            <w:tcBorders>
              <w:top w:val="single" w:sz="4" w:space="0" w:color="auto"/>
              <w:left w:val="single" w:sz="4" w:space="0" w:color="auto"/>
              <w:bottom w:val="single" w:sz="4" w:space="0" w:color="auto"/>
              <w:right w:val="single" w:sz="4" w:space="0" w:color="auto"/>
            </w:tcBorders>
          </w:tcPr>
          <w:p w14:paraId="37060EDD" w14:textId="77777777" w:rsidR="00163B58" w:rsidRDefault="00163B58" w:rsidP="00F47591">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E75026F" w14:textId="77777777" w:rsidR="00163B58" w:rsidRDefault="00163B58" w:rsidP="00F4759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69EB4778" w14:textId="77777777" w:rsidR="00163B58" w:rsidRDefault="00163B58" w:rsidP="00F4759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221BD36" w14:textId="77777777" w:rsidR="00163B58" w:rsidRDefault="00163B58" w:rsidP="00F4759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3646255" w14:textId="77777777" w:rsidR="00163B58" w:rsidRDefault="00163B58" w:rsidP="00F4759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D1D4D0C" w14:textId="77777777" w:rsidR="00163B58" w:rsidRDefault="00163B58" w:rsidP="00F4759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8217AA3" w14:textId="77777777" w:rsidR="00163B58" w:rsidRDefault="00163B58" w:rsidP="00F47591">
            <w:pPr>
              <w:pStyle w:val="TAH"/>
              <w:rPr>
                <w:lang w:eastAsia="ja-JP"/>
              </w:rPr>
            </w:pPr>
            <w:r>
              <w:rPr>
                <w:lang w:eastAsia="ja-JP"/>
              </w:rPr>
              <w:t>Assigned Criticality</w:t>
            </w:r>
          </w:p>
        </w:tc>
      </w:tr>
      <w:tr w:rsidR="00163B58" w:rsidRPr="00C017E2" w14:paraId="611B47FC" w14:textId="77777777" w:rsidTr="00F47591">
        <w:tc>
          <w:tcPr>
            <w:tcW w:w="2437" w:type="dxa"/>
            <w:tcBorders>
              <w:top w:val="single" w:sz="4" w:space="0" w:color="auto"/>
              <w:left w:val="single" w:sz="4" w:space="0" w:color="auto"/>
              <w:bottom w:val="single" w:sz="4" w:space="0" w:color="auto"/>
              <w:right w:val="single" w:sz="4" w:space="0" w:color="auto"/>
            </w:tcBorders>
          </w:tcPr>
          <w:p w14:paraId="1A965847" w14:textId="77777777" w:rsidR="00163B58" w:rsidRDefault="00163B58" w:rsidP="00F4759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4C54CA6" w14:textId="77777777" w:rsidR="00163B58" w:rsidRDefault="00163B58" w:rsidP="00F4759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1A4043" w14:textId="77777777" w:rsidR="00163B58" w:rsidRDefault="00163B58" w:rsidP="00F4759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2040E1" w14:textId="77777777" w:rsidR="00163B58" w:rsidRDefault="00163B58" w:rsidP="00F4759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265B901"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37716DC" w14:textId="77777777" w:rsidR="00163B58" w:rsidRDefault="00163B58" w:rsidP="00F4759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AB4B1F1" w14:textId="77777777" w:rsidR="00163B58" w:rsidRDefault="00163B58" w:rsidP="00F47591">
            <w:pPr>
              <w:pStyle w:val="TAC"/>
              <w:rPr>
                <w:lang w:eastAsia="ja-JP"/>
              </w:rPr>
            </w:pPr>
            <w:r>
              <w:rPr>
                <w:lang w:eastAsia="ja-JP"/>
              </w:rPr>
              <w:t>ignore</w:t>
            </w:r>
          </w:p>
        </w:tc>
      </w:tr>
      <w:tr w:rsidR="00163B58" w:rsidRPr="00C017E2" w14:paraId="3E7A8084" w14:textId="77777777" w:rsidTr="00F47591">
        <w:tc>
          <w:tcPr>
            <w:tcW w:w="2437" w:type="dxa"/>
            <w:tcBorders>
              <w:top w:val="single" w:sz="4" w:space="0" w:color="auto"/>
              <w:left w:val="single" w:sz="4" w:space="0" w:color="auto"/>
              <w:bottom w:val="single" w:sz="4" w:space="0" w:color="auto"/>
              <w:right w:val="single" w:sz="4" w:space="0" w:color="auto"/>
            </w:tcBorders>
          </w:tcPr>
          <w:p w14:paraId="6EA57BCA" w14:textId="77777777" w:rsidR="00163B58" w:rsidRDefault="00163B58" w:rsidP="00F47591">
            <w:pPr>
              <w:pStyle w:val="TAL"/>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5D8AEE24" w14:textId="77777777" w:rsidR="00163B58" w:rsidRDefault="00163B58" w:rsidP="00F4759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5DEBB5D"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C6A1EC" w14:textId="77777777" w:rsidR="00163B58" w:rsidRDefault="00163B58" w:rsidP="00F47591">
            <w:pPr>
              <w:pStyle w:val="TAL"/>
              <w:rPr>
                <w:lang w:eastAsia="ja-JP"/>
              </w:rPr>
            </w:pPr>
            <w:r>
              <w:rPr>
                <w:lang w:eastAsia="ja-JP"/>
              </w:rPr>
              <w:t>INTEGER (</w:t>
            </w:r>
            <w:proofErr w:type="gramStart"/>
            <w:r>
              <w:rPr>
                <w:lang w:eastAsia="ja-JP"/>
              </w:rPr>
              <w:t>1..</w:t>
            </w:r>
            <w:proofErr w:type="gramEnd"/>
            <w:r>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2B3EAAFC" w14:textId="77777777" w:rsidR="00163B58" w:rsidRDefault="00163B58" w:rsidP="00F4759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E324DA1" w14:textId="77777777" w:rsidR="00163B58" w:rsidRDefault="00163B58" w:rsidP="00F4759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AD8E94A" w14:textId="77777777" w:rsidR="00163B58" w:rsidRDefault="00163B58" w:rsidP="00F47591">
            <w:pPr>
              <w:pStyle w:val="TAC"/>
              <w:rPr>
                <w:lang w:eastAsia="ja-JP"/>
              </w:rPr>
            </w:pPr>
            <w:r>
              <w:rPr>
                <w:lang w:eastAsia="ja-JP"/>
              </w:rPr>
              <w:t>reject</w:t>
            </w:r>
          </w:p>
        </w:tc>
      </w:tr>
      <w:tr w:rsidR="00163B58" w:rsidRPr="00C017E2" w14:paraId="3DE282CD" w14:textId="77777777" w:rsidTr="00F47591">
        <w:tc>
          <w:tcPr>
            <w:tcW w:w="2437" w:type="dxa"/>
            <w:tcBorders>
              <w:top w:val="single" w:sz="4" w:space="0" w:color="auto"/>
              <w:left w:val="single" w:sz="4" w:space="0" w:color="auto"/>
              <w:bottom w:val="single" w:sz="4" w:space="0" w:color="auto"/>
              <w:right w:val="single" w:sz="4" w:space="0" w:color="auto"/>
            </w:tcBorders>
          </w:tcPr>
          <w:p w14:paraId="7CA1307A" w14:textId="77777777" w:rsidR="00163B58" w:rsidRDefault="00163B58" w:rsidP="00F47591">
            <w:pPr>
              <w:pStyle w:val="TAL"/>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ECDA112" w14:textId="77777777" w:rsidR="00163B58" w:rsidRDefault="00163B58" w:rsidP="00F4759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1A906FB"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7DA40D" w14:textId="77777777" w:rsidR="00163B58" w:rsidRDefault="00163B58" w:rsidP="00F47591">
            <w:pPr>
              <w:pStyle w:val="TAL"/>
              <w:rPr>
                <w:lang w:eastAsia="ja-JP"/>
              </w:rPr>
            </w:pPr>
            <w:r>
              <w:rPr>
                <w:lang w:eastAsia="ja-JP"/>
              </w:rPr>
              <w:t>INTEGER (</w:t>
            </w:r>
            <w:proofErr w:type="gramStart"/>
            <w:r>
              <w:rPr>
                <w:lang w:eastAsia="ja-JP"/>
              </w:rPr>
              <w:t>1..</w:t>
            </w:r>
            <w:proofErr w:type="gramEnd"/>
            <w:r>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4B0B4A88" w14:textId="77777777" w:rsidR="00163B58" w:rsidRDefault="00163B58" w:rsidP="00F4759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B372C02" w14:textId="77777777" w:rsidR="00163B58" w:rsidRDefault="00163B58" w:rsidP="00F4759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A01214" w14:textId="77777777" w:rsidR="00163B58" w:rsidRDefault="00163B58" w:rsidP="00F47591">
            <w:pPr>
              <w:pStyle w:val="TAC"/>
              <w:rPr>
                <w:lang w:eastAsia="ja-JP"/>
              </w:rPr>
            </w:pPr>
            <w:r>
              <w:rPr>
                <w:lang w:eastAsia="ja-JP"/>
              </w:rPr>
              <w:t>reject</w:t>
            </w:r>
          </w:p>
        </w:tc>
      </w:tr>
      <w:tr w:rsidR="00163B58" w:rsidRPr="00C017E2" w14:paraId="57EC94E3" w14:textId="77777777" w:rsidTr="00F47591">
        <w:tc>
          <w:tcPr>
            <w:tcW w:w="2437" w:type="dxa"/>
            <w:tcBorders>
              <w:top w:val="single" w:sz="4" w:space="0" w:color="auto"/>
              <w:left w:val="single" w:sz="4" w:space="0" w:color="auto"/>
              <w:bottom w:val="single" w:sz="4" w:space="0" w:color="auto"/>
              <w:right w:val="single" w:sz="4" w:space="0" w:color="auto"/>
            </w:tcBorders>
          </w:tcPr>
          <w:p w14:paraId="35C0BDC7" w14:textId="77777777" w:rsidR="00163B58" w:rsidRDefault="00163B58" w:rsidP="00F47591">
            <w:pPr>
              <w:pStyle w:val="TAL"/>
              <w:rPr>
                <w:b/>
                <w:lang w:eastAsia="ja-JP"/>
              </w:rPr>
            </w:pPr>
            <w:r>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E3D43D3" w14:textId="77777777" w:rsidR="00163B58" w:rsidRDefault="00163B58" w:rsidP="00F4759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F5FC8E6" w14:textId="77777777" w:rsidR="00163B58" w:rsidRDefault="00163B58" w:rsidP="00F47591">
            <w:pPr>
              <w:pStyle w:val="TAL"/>
              <w:rPr>
                <w:i/>
                <w:lang w:eastAsia="ja-JP"/>
              </w:rPr>
            </w:pPr>
            <w:r>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8AAF1D4" w14:textId="77777777" w:rsidR="00163B58" w:rsidRDefault="00163B58" w:rsidP="00F4759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10C166D"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C52739" w14:textId="77777777" w:rsidR="00163B58" w:rsidRDefault="00163B58" w:rsidP="00F4759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17E5E18" w14:textId="77777777" w:rsidR="00163B58" w:rsidRDefault="00163B58" w:rsidP="00F47591">
            <w:pPr>
              <w:pStyle w:val="TAC"/>
              <w:rPr>
                <w:lang w:eastAsia="ja-JP"/>
              </w:rPr>
            </w:pPr>
            <w:r>
              <w:rPr>
                <w:snapToGrid w:val="0"/>
              </w:rPr>
              <w:t>ignore</w:t>
            </w:r>
          </w:p>
        </w:tc>
      </w:tr>
      <w:tr w:rsidR="00163B58" w:rsidRPr="00C017E2" w14:paraId="0B7E6245" w14:textId="77777777" w:rsidTr="00F47591">
        <w:tc>
          <w:tcPr>
            <w:tcW w:w="2437" w:type="dxa"/>
            <w:tcBorders>
              <w:top w:val="single" w:sz="4" w:space="0" w:color="auto"/>
              <w:left w:val="single" w:sz="4" w:space="0" w:color="auto"/>
              <w:bottom w:val="single" w:sz="4" w:space="0" w:color="auto"/>
              <w:right w:val="single" w:sz="4" w:space="0" w:color="auto"/>
            </w:tcBorders>
          </w:tcPr>
          <w:p w14:paraId="2A189DF6" w14:textId="77777777" w:rsidR="00163B58" w:rsidRDefault="00163B58" w:rsidP="00F47591">
            <w:pPr>
              <w:pStyle w:val="TAL"/>
              <w:ind w:left="113"/>
              <w:rPr>
                <w:b/>
                <w:lang w:eastAsia="ja-JP"/>
              </w:rPr>
            </w:pPr>
            <w:r>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D70A383" w14:textId="77777777" w:rsidR="00163B58" w:rsidRDefault="00163B58" w:rsidP="00F4759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53D9475" w14:textId="77777777" w:rsidR="00163B58" w:rsidRDefault="00163B58" w:rsidP="00F47591">
            <w:pPr>
              <w:pStyle w:val="TAL"/>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16752B5E" w14:textId="77777777" w:rsidR="00163B58" w:rsidRDefault="00163B58" w:rsidP="00F4759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0D66FA"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53456A5" w14:textId="77777777" w:rsidR="00163B58" w:rsidRDefault="00163B58" w:rsidP="00F4759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3ECB8E7" w14:textId="77777777" w:rsidR="00163B58" w:rsidRDefault="00163B58" w:rsidP="00F47591">
            <w:pPr>
              <w:pStyle w:val="TAC"/>
              <w:rPr>
                <w:lang w:eastAsia="ja-JP"/>
              </w:rPr>
            </w:pPr>
            <w:r>
              <w:rPr>
                <w:snapToGrid w:val="0"/>
              </w:rPr>
              <w:t>ignore</w:t>
            </w:r>
          </w:p>
        </w:tc>
      </w:tr>
      <w:tr w:rsidR="00163B58" w:rsidRPr="00C017E2" w14:paraId="54E207FF" w14:textId="77777777" w:rsidTr="00F47591">
        <w:tc>
          <w:tcPr>
            <w:tcW w:w="2437" w:type="dxa"/>
            <w:tcBorders>
              <w:top w:val="single" w:sz="4" w:space="0" w:color="auto"/>
              <w:left w:val="single" w:sz="4" w:space="0" w:color="auto"/>
              <w:bottom w:val="single" w:sz="4" w:space="0" w:color="auto"/>
              <w:right w:val="single" w:sz="4" w:space="0" w:color="auto"/>
            </w:tcBorders>
          </w:tcPr>
          <w:p w14:paraId="0A8C9735" w14:textId="77777777" w:rsidR="00163B58" w:rsidRDefault="00163B58" w:rsidP="00F47591">
            <w:pPr>
              <w:pStyle w:val="TAL"/>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E919130" w14:textId="77777777" w:rsidR="00163B58" w:rsidRDefault="00163B58" w:rsidP="00F4759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17BBC79"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FA4639" w14:textId="77777777" w:rsidR="00163B58" w:rsidRDefault="00163B58" w:rsidP="00F47591">
            <w:pPr>
              <w:pStyle w:val="TAL"/>
              <w:rPr>
                <w:lang w:eastAsia="ja-JP"/>
              </w:rPr>
            </w:pPr>
            <w:r>
              <w:rPr>
                <w:lang w:eastAsia="ja-JP"/>
              </w:rPr>
              <w:t>Global NG-RAN Cell Identity</w:t>
            </w:r>
          </w:p>
          <w:p w14:paraId="1664D180" w14:textId="77777777" w:rsidR="00163B58" w:rsidRDefault="00163B58" w:rsidP="00F47591">
            <w:pPr>
              <w:pStyle w:val="TAL"/>
              <w:rPr>
                <w:lang w:eastAsia="ja-JP"/>
              </w:rPr>
            </w:pPr>
            <w:r>
              <w:rPr>
                <w:lang w:eastAsia="ja-JP"/>
              </w:rPr>
              <w:t>9.2.2.27</w:t>
            </w:r>
          </w:p>
          <w:p w14:paraId="34C5D858" w14:textId="77777777" w:rsidR="00163B58" w:rsidRDefault="00163B58" w:rsidP="00F47591">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5096E54"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5DA557E" w14:textId="77777777" w:rsidR="00163B58" w:rsidRDefault="00163B58" w:rsidP="00F47591">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40EBFD4" w14:textId="77777777" w:rsidR="00163B58" w:rsidRDefault="00163B58" w:rsidP="00F47591">
            <w:pPr>
              <w:pStyle w:val="TAC"/>
              <w:rPr>
                <w:lang w:eastAsia="ja-JP"/>
              </w:rPr>
            </w:pPr>
          </w:p>
        </w:tc>
      </w:tr>
      <w:tr w:rsidR="00163B58" w:rsidRPr="00C017E2" w14:paraId="4209957C" w14:textId="77777777" w:rsidTr="00F47591">
        <w:tc>
          <w:tcPr>
            <w:tcW w:w="2437" w:type="dxa"/>
            <w:tcBorders>
              <w:top w:val="single" w:sz="4" w:space="0" w:color="auto"/>
              <w:left w:val="single" w:sz="4" w:space="0" w:color="auto"/>
              <w:bottom w:val="single" w:sz="4" w:space="0" w:color="auto"/>
              <w:right w:val="single" w:sz="4" w:space="0" w:color="auto"/>
            </w:tcBorders>
          </w:tcPr>
          <w:p w14:paraId="7E59B59F" w14:textId="77777777" w:rsidR="00163B58" w:rsidRDefault="00163B58" w:rsidP="00F47591">
            <w:pPr>
              <w:pStyle w:val="TAL"/>
              <w:ind w:left="227"/>
              <w:rPr>
                <w:lang w:eastAsia="ja-JP"/>
              </w:rPr>
            </w:pPr>
            <w:r>
              <w:rPr>
                <w:rFonts w:cs="Arial"/>
                <w:b/>
                <w:lang w:eastAsia="zh-CN"/>
              </w:rPr>
              <w:t>&gt;&gt;NR-U Channel List</w:t>
            </w:r>
          </w:p>
        </w:tc>
        <w:tc>
          <w:tcPr>
            <w:tcW w:w="1094" w:type="dxa"/>
            <w:tcBorders>
              <w:top w:val="single" w:sz="4" w:space="0" w:color="auto"/>
              <w:left w:val="single" w:sz="4" w:space="0" w:color="auto"/>
              <w:bottom w:val="single" w:sz="4" w:space="0" w:color="auto"/>
              <w:right w:val="single" w:sz="4" w:space="0" w:color="auto"/>
            </w:tcBorders>
          </w:tcPr>
          <w:p w14:paraId="52999BDB" w14:textId="77777777" w:rsidR="00163B58" w:rsidRDefault="00163B58" w:rsidP="00F4759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9FD0D94" w14:textId="77777777" w:rsidR="00163B58" w:rsidRDefault="00163B58" w:rsidP="00F47591">
            <w:pPr>
              <w:pStyle w:val="TAL"/>
              <w:rPr>
                <w:i/>
                <w:lang w:eastAsia="ja-JP"/>
              </w:rPr>
            </w:pPr>
            <w:r>
              <w:rPr>
                <w:i/>
              </w:rPr>
              <w:t>0..1</w:t>
            </w:r>
          </w:p>
        </w:tc>
        <w:tc>
          <w:tcPr>
            <w:tcW w:w="1247" w:type="dxa"/>
            <w:tcBorders>
              <w:top w:val="single" w:sz="4" w:space="0" w:color="auto"/>
              <w:left w:val="single" w:sz="4" w:space="0" w:color="auto"/>
              <w:bottom w:val="single" w:sz="4" w:space="0" w:color="auto"/>
              <w:right w:val="single" w:sz="4" w:space="0" w:color="auto"/>
            </w:tcBorders>
          </w:tcPr>
          <w:p w14:paraId="2BFECB9F" w14:textId="77777777" w:rsidR="00163B58" w:rsidRDefault="00163B58" w:rsidP="00F4759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D658F8"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200381" w14:textId="77777777" w:rsidR="00163B58" w:rsidRDefault="00163B58" w:rsidP="00F4759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1332470" w14:textId="77777777" w:rsidR="00163B58" w:rsidRDefault="00163B58" w:rsidP="00F47591">
            <w:pPr>
              <w:pStyle w:val="TAC"/>
              <w:rPr>
                <w:lang w:eastAsia="ja-JP"/>
              </w:rPr>
            </w:pPr>
          </w:p>
        </w:tc>
      </w:tr>
      <w:tr w:rsidR="00163B58" w:rsidRPr="00C017E2" w14:paraId="01DBF9E2" w14:textId="77777777" w:rsidTr="00F47591">
        <w:tc>
          <w:tcPr>
            <w:tcW w:w="2437" w:type="dxa"/>
            <w:tcBorders>
              <w:top w:val="single" w:sz="4" w:space="0" w:color="auto"/>
              <w:left w:val="single" w:sz="4" w:space="0" w:color="auto"/>
              <w:bottom w:val="single" w:sz="4" w:space="0" w:color="auto"/>
              <w:right w:val="single" w:sz="4" w:space="0" w:color="auto"/>
            </w:tcBorders>
          </w:tcPr>
          <w:p w14:paraId="04B89AC1" w14:textId="77777777" w:rsidR="00163B58" w:rsidRDefault="00163B58" w:rsidP="00F47591">
            <w:pPr>
              <w:pStyle w:val="TAL"/>
              <w:ind w:left="370"/>
              <w:rPr>
                <w:lang w:eastAsia="ja-JP"/>
              </w:rPr>
            </w:pPr>
            <w:r>
              <w:rPr>
                <w:rFonts w:cs="Arial"/>
                <w:bCs/>
                <w:lang w:eastAsia="ja-JP"/>
              </w:rPr>
              <w:t>&gt;&gt;&gt;</w:t>
            </w:r>
            <w:r>
              <w:rPr>
                <w:rFonts w:cs="Arial"/>
                <w:b/>
                <w:lang w:eastAsia="ja-JP"/>
              </w:rPr>
              <w:t>NR-U Channel Item</w:t>
            </w:r>
          </w:p>
        </w:tc>
        <w:tc>
          <w:tcPr>
            <w:tcW w:w="1094" w:type="dxa"/>
            <w:tcBorders>
              <w:top w:val="single" w:sz="4" w:space="0" w:color="auto"/>
              <w:left w:val="single" w:sz="4" w:space="0" w:color="auto"/>
              <w:bottom w:val="single" w:sz="4" w:space="0" w:color="auto"/>
              <w:right w:val="single" w:sz="4" w:space="0" w:color="auto"/>
            </w:tcBorders>
          </w:tcPr>
          <w:p w14:paraId="39159663" w14:textId="77777777" w:rsidR="00163B58" w:rsidRDefault="00163B58" w:rsidP="00F4759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C371741" w14:textId="77777777" w:rsidR="00163B58" w:rsidRDefault="00163B58" w:rsidP="00F47591">
            <w:pPr>
              <w:pStyle w:val="TAL"/>
              <w:rPr>
                <w:i/>
                <w:lang w:eastAsia="ja-JP"/>
              </w:rPr>
            </w:pPr>
            <w:proofErr w:type="gramStart"/>
            <w:r>
              <w:rPr>
                <w:i/>
              </w:rPr>
              <w:t>1..&lt;</w:t>
            </w:r>
            <w:proofErr w:type="spellStart"/>
            <w:proofErr w:type="gramEnd"/>
            <w:r>
              <w:rPr>
                <w:i/>
              </w:rPr>
              <w:t>maxnoofNR-UChannels</w:t>
            </w:r>
            <w:proofErr w:type="spellEnd"/>
            <w:r>
              <w:rPr>
                <w:i/>
              </w:rPr>
              <w:t>&gt;</w:t>
            </w:r>
          </w:p>
        </w:tc>
        <w:tc>
          <w:tcPr>
            <w:tcW w:w="1247" w:type="dxa"/>
            <w:tcBorders>
              <w:top w:val="single" w:sz="4" w:space="0" w:color="auto"/>
              <w:left w:val="single" w:sz="4" w:space="0" w:color="auto"/>
              <w:bottom w:val="single" w:sz="4" w:space="0" w:color="auto"/>
              <w:right w:val="single" w:sz="4" w:space="0" w:color="auto"/>
            </w:tcBorders>
          </w:tcPr>
          <w:p w14:paraId="3883D070" w14:textId="77777777" w:rsidR="00163B58" w:rsidRDefault="00163B58" w:rsidP="00F4759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3E01887"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719C397" w14:textId="77777777" w:rsidR="00163B58" w:rsidRDefault="00163B58" w:rsidP="00F4759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2715BCF" w14:textId="77777777" w:rsidR="00163B58" w:rsidRDefault="00163B58" w:rsidP="00F47591">
            <w:pPr>
              <w:pStyle w:val="TAC"/>
              <w:rPr>
                <w:lang w:eastAsia="ja-JP"/>
              </w:rPr>
            </w:pPr>
          </w:p>
        </w:tc>
      </w:tr>
      <w:tr w:rsidR="00163B58" w:rsidRPr="00C017E2" w14:paraId="7F6252C4" w14:textId="77777777" w:rsidTr="00F47591">
        <w:tc>
          <w:tcPr>
            <w:tcW w:w="2437" w:type="dxa"/>
            <w:tcBorders>
              <w:top w:val="single" w:sz="4" w:space="0" w:color="auto"/>
              <w:left w:val="single" w:sz="4" w:space="0" w:color="auto"/>
              <w:bottom w:val="single" w:sz="4" w:space="0" w:color="auto"/>
              <w:right w:val="single" w:sz="4" w:space="0" w:color="auto"/>
            </w:tcBorders>
          </w:tcPr>
          <w:p w14:paraId="6F0DF2F2" w14:textId="77777777" w:rsidR="00163B58" w:rsidRDefault="00163B58" w:rsidP="00F47591">
            <w:pPr>
              <w:pStyle w:val="TAL"/>
              <w:ind w:left="511"/>
              <w:rPr>
                <w:lang w:eastAsia="ja-JP"/>
              </w:rPr>
            </w:pPr>
            <w:r>
              <w:rPr>
                <w:rFonts w:cs="Arial"/>
                <w:bCs/>
                <w:lang w:eastAsia="ja-JP"/>
              </w:rPr>
              <w:t>&gt;&gt;&gt;&gt;NR-U Channel</w:t>
            </w:r>
          </w:p>
        </w:tc>
        <w:tc>
          <w:tcPr>
            <w:tcW w:w="1094" w:type="dxa"/>
            <w:tcBorders>
              <w:top w:val="single" w:sz="4" w:space="0" w:color="auto"/>
              <w:left w:val="single" w:sz="4" w:space="0" w:color="auto"/>
              <w:bottom w:val="single" w:sz="4" w:space="0" w:color="auto"/>
              <w:right w:val="single" w:sz="4" w:space="0" w:color="auto"/>
            </w:tcBorders>
          </w:tcPr>
          <w:p w14:paraId="052E0F54" w14:textId="77777777" w:rsidR="00163B58" w:rsidRDefault="00163B58" w:rsidP="00F47591">
            <w:pPr>
              <w:pStyle w:val="TAL"/>
              <w:rPr>
                <w:lang w:eastAsia="ja-JP"/>
              </w:rPr>
            </w:pPr>
            <w:r>
              <w:t>M</w:t>
            </w:r>
          </w:p>
        </w:tc>
        <w:tc>
          <w:tcPr>
            <w:tcW w:w="1583" w:type="dxa"/>
            <w:tcBorders>
              <w:top w:val="single" w:sz="4" w:space="0" w:color="auto"/>
              <w:left w:val="single" w:sz="4" w:space="0" w:color="auto"/>
              <w:bottom w:val="single" w:sz="4" w:space="0" w:color="auto"/>
              <w:right w:val="single" w:sz="4" w:space="0" w:color="auto"/>
            </w:tcBorders>
          </w:tcPr>
          <w:p w14:paraId="530EB2CD"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EE3F88" w14:textId="77777777" w:rsidR="00163B58" w:rsidRDefault="00163B58" w:rsidP="00F47591">
            <w:pPr>
              <w:pStyle w:val="TAL"/>
              <w:rPr>
                <w:lang w:eastAsia="ja-JP"/>
              </w:rPr>
            </w:pPr>
            <w:r>
              <w:t>FFS</w:t>
            </w:r>
          </w:p>
        </w:tc>
        <w:tc>
          <w:tcPr>
            <w:tcW w:w="1262" w:type="dxa"/>
            <w:tcBorders>
              <w:top w:val="single" w:sz="4" w:space="0" w:color="auto"/>
              <w:left w:val="single" w:sz="4" w:space="0" w:color="auto"/>
              <w:bottom w:val="single" w:sz="4" w:space="0" w:color="auto"/>
              <w:right w:val="single" w:sz="4" w:space="0" w:color="auto"/>
            </w:tcBorders>
          </w:tcPr>
          <w:p w14:paraId="5008352C" w14:textId="77777777" w:rsidR="00163B58" w:rsidRDefault="00163B58" w:rsidP="00F47591">
            <w:pPr>
              <w:pStyle w:val="TAL"/>
              <w:rPr>
                <w:lang w:eastAsia="ja-JP"/>
              </w:rPr>
            </w:pPr>
            <w:r>
              <w:rPr>
                <w:lang w:eastAsia="ja-JP"/>
              </w:rPr>
              <w:t xml:space="preserve">The NR-U channel utilised in the last reporting period </w:t>
            </w:r>
            <w:r w:rsidRPr="00163B58">
              <w:rPr>
                <w:highlight w:val="yellow"/>
                <w:lang w:eastAsia="ja-JP"/>
              </w:rPr>
              <w:t>[FFS]</w:t>
            </w:r>
          </w:p>
        </w:tc>
        <w:tc>
          <w:tcPr>
            <w:tcW w:w="1253" w:type="dxa"/>
            <w:tcBorders>
              <w:top w:val="single" w:sz="4" w:space="0" w:color="auto"/>
              <w:left w:val="single" w:sz="4" w:space="0" w:color="auto"/>
              <w:bottom w:val="single" w:sz="4" w:space="0" w:color="auto"/>
              <w:right w:val="single" w:sz="4" w:space="0" w:color="auto"/>
            </w:tcBorders>
          </w:tcPr>
          <w:p w14:paraId="65ECC10F" w14:textId="77777777" w:rsidR="00163B58" w:rsidRDefault="00163B58" w:rsidP="00F4759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46B741C1" w14:textId="77777777" w:rsidR="00163B58" w:rsidRDefault="00163B58" w:rsidP="00F47591">
            <w:pPr>
              <w:pStyle w:val="TAC"/>
              <w:rPr>
                <w:lang w:eastAsia="ja-JP"/>
              </w:rPr>
            </w:pPr>
          </w:p>
        </w:tc>
      </w:tr>
      <w:tr w:rsidR="00163B58" w:rsidRPr="00C017E2" w14:paraId="316ABEC3" w14:textId="77777777" w:rsidTr="00F47591">
        <w:tc>
          <w:tcPr>
            <w:tcW w:w="2437" w:type="dxa"/>
            <w:tcBorders>
              <w:top w:val="single" w:sz="4" w:space="0" w:color="auto"/>
              <w:left w:val="single" w:sz="4" w:space="0" w:color="auto"/>
              <w:bottom w:val="single" w:sz="4" w:space="0" w:color="auto"/>
              <w:right w:val="single" w:sz="4" w:space="0" w:color="auto"/>
            </w:tcBorders>
          </w:tcPr>
          <w:p w14:paraId="7A0E183E" w14:textId="77777777" w:rsidR="00163B58" w:rsidRDefault="00163B58" w:rsidP="00F47591">
            <w:pPr>
              <w:pStyle w:val="TAL"/>
              <w:ind w:left="511"/>
              <w:rPr>
                <w:rFonts w:cs="Arial"/>
                <w:bCs/>
                <w:lang w:eastAsia="ja-JP"/>
              </w:rPr>
            </w:pPr>
            <w:r>
              <w:rPr>
                <w:rFonts w:cs="Arial"/>
                <w:bCs/>
                <w:lang w:eastAsia="ja-JP"/>
              </w:rPr>
              <w:t xml:space="preserve">&gt;&gt;&gt;&gt;Channel Availability </w:t>
            </w:r>
            <w:r w:rsidRPr="00163B58">
              <w:rPr>
                <w:rFonts w:cs="Arial"/>
                <w:bCs/>
                <w:highlight w:val="yellow"/>
                <w:lang w:eastAsia="ja-JP"/>
              </w:rPr>
              <w:t>[FFS if Channel Occupancy should be signalled instead]</w:t>
            </w:r>
          </w:p>
        </w:tc>
        <w:tc>
          <w:tcPr>
            <w:tcW w:w="1094" w:type="dxa"/>
            <w:tcBorders>
              <w:top w:val="single" w:sz="4" w:space="0" w:color="auto"/>
              <w:left w:val="single" w:sz="4" w:space="0" w:color="auto"/>
              <w:bottom w:val="single" w:sz="4" w:space="0" w:color="auto"/>
              <w:right w:val="single" w:sz="4" w:space="0" w:color="auto"/>
            </w:tcBorders>
          </w:tcPr>
          <w:p w14:paraId="09C50A39" w14:textId="77777777" w:rsidR="00163B58" w:rsidRDefault="00163B58" w:rsidP="00F47591">
            <w:pPr>
              <w:pStyle w:val="TAL"/>
            </w:pPr>
            <w:r>
              <w:t>M</w:t>
            </w:r>
          </w:p>
        </w:tc>
        <w:tc>
          <w:tcPr>
            <w:tcW w:w="1583" w:type="dxa"/>
            <w:tcBorders>
              <w:top w:val="single" w:sz="4" w:space="0" w:color="auto"/>
              <w:left w:val="single" w:sz="4" w:space="0" w:color="auto"/>
              <w:bottom w:val="single" w:sz="4" w:space="0" w:color="auto"/>
              <w:right w:val="single" w:sz="4" w:space="0" w:color="auto"/>
            </w:tcBorders>
          </w:tcPr>
          <w:p w14:paraId="6725DE62"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D13FDA" w14:textId="77777777" w:rsidR="00163B58" w:rsidRDefault="00163B58" w:rsidP="00F47591">
            <w:pPr>
              <w:pStyle w:val="TAL"/>
            </w:pPr>
            <w:r>
              <w:t>INTEGER (</w:t>
            </w:r>
            <w:proofErr w:type="gramStart"/>
            <w:r>
              <w:t>0..</w:t>
            </w:r>
            <w:proofErr w:type="gramEnd"/>
            <w:r>
              <w:t>100)</w:t>
            </w:r>
          </w:p>
        </w:tc>
        <w:tc>
          <w:tcPr>
            <w:tcW w:w="1262" w:type="dxa"/>
            <w:tcBorders>
              <w:top w:val="single" w:sz="4" w:space="0" w:color="auto"/>
              <w:left w:val="single" w:sz="4" w:space="0" w:color="auto"/>
              <w:bottom w:val="single" w:sz="4" w:space="0" w:color="auto"/>
              <w:right w:val="single" w:sz="4" w:space="0" w:color="auto"/>
            </w:tcBorders>
          </w:tcPr>
          <w:p w14:paraId="208B5767" w14:textId="77777777" w:rsidR="00163B58" w:rsidRDefault="00163B58" w:rsidP="00F47591">
            <w:pPr>
              <w:pStyle w:val="TAL"/>
              <w:rPr>
                <w:lang w:eastAsia="ja-JP"/>
              </w:rPr>
            </w:pPr>
            <w:r>
              <w:rPr>
                <w:lang w:eastAsia="ja-JP"/>
              </w:rPr>
              <w:t xml:space="preserve">The percentage of time for which the channel resources have been available, </w:t>
            </w:r>
            <w:proofErr w:type="gramStart"/>
            <w:r>
              <w:rPr>
                <w:lang w:eastAsia="ja-JP"/>
              </w:rPr>
              <w:t>e.g.</w:t>
            </w:r>
            <w:proofErr w:type="gramEnd"/>
            <w:r>
              <w:rPr>
                <w:lang w:eastAsia="ja-JP"/>
              </w:rPr>
              <w:t xml:space="preserve"> due to successful LBT </w:t>
            </w:r>
            <w:r w:rsidRPr="00163B58">
              <w:rPr>
                <w:highlight w:val="yellow"/>
                <w:lang w:eastAsia="ja-JP"/>
              </w:rPr>
              <w:t>[FFS]</w:t>
            </w:r>
          </w:p>
        </w:tc>
        <w:tc>
          <w:tcPr>
            <w:tcW w:w="1253" w:type="dxa"/>
            <w:tcBorders>
              <w:top w:val="single" w:sz="4" w:space="0" w:color="auto"/>
              <w:left w:val="single" w:sz="4" w:space="0" w:color="auto"/>
              <w:bottom w:val="single" w:sz="4" w:space="0" w:color="auto"/>
              <w:right w:val="single" w:sz="4" w:space="0" w:color="auto"/>
            </w:tcBorders>
          </w:tcPr>
          <w:p w14:paraId="1CA4CFA7" w14:textId="77777777" w:rsidR="00163B58" w:rsidRDefault="00163B58" w:rsidP="00F4759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9BF0D36" w14:textId="77777777" w:rsidR="00163B58" w:rsidRDefault="00163B58" w:rsidP="00F47591">
            <w:pPr>
              <w:pStyle w:val="TAC"/>
              <w:rPr>
                <w:lang w:eastAsia="ja-JP"/>
              </w:rPr>
            </w:pPr>
          </w:p>
        </w:tc>
      </w:tr>
      <w:tr w:rsidR="00163B58" w:rsidRPr="00C017E2" w14:paraId="3E5CB6F5" w14:textId="77777777" w:rsidTr="00F47591">
        <w:tc>
          <w:tcPr>
            <w:tcW w:w="2437" w:type="dxa"/>
            <w:tcBorders>
              <w:top w:val="single" w:sz="4" w:space="0" w:color="auto"/>
              <w:left w:val="single" w:sz="4" w:space="0" w:color="auto"/>
              <w:bottom w:val="single" w:sz="4" w:space="0" w:color="auto"/>
              <w:right w:val="single" w:sz="4" w:space="0" w:color="auto"/>
            </w:tcBorders>
          </w:tcPr>
          <w:p w14:paraId="67251947" w14:textId="77777777" w:rsidR="00163B58" w:rsidRDefault="00163B58" w:rsidP="00F47591">
            <w:pPr>
              <w:pStyle w:val="TAL"/>
              <w:ind w:left="227"/>
              <w:rPr>
                <w:lang w:eastAsia="ja-JP"/>
              </w:rPr>
            </w:pPr>
            <w:r>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15479BDA" w14:textId="77777777" w:rsidR="00163B58" w:rsidRDefault="00163B58" w:rsidP="00F47591">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732B29D"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FB289E" w14:textId="77777777" w:rsidR="00163B58" w:rsidRDefault="00163B58" w:rsidP="00F47591">
            <w:pPr>
              <w:pStyle w:val="TAL"/>
              <w:rPr>
                <w:lang w:eastAsia="ja-JP"/>
              </w:rPr>
            </w:pPr>
            <w:r>
              <w:rPr>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345231B5"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049AD6B" w14:textId="77777777" w:rsidR="00163B58" w:rsidRDefault="00163B58" w:rsidP="00F47591">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58EB258" w14:textId="77777777" w:rsidR="00163B58" w:rsidRDefault="00163B58" w:rsidP="00F47591">
            <w:pPr>
              <w:pStyle w:val="TAC"/>
              <w:rPr>
                <w:lang w:eastAsia="ja-JP"/>
              </w:rPr>
            </w:pPr>
          </w:p>
        </w:tc>
      </w:tr>
      <w:tr w:rsidR="00163B58" w:rsidRPr="00C017E2" w14:paraId="748F8551" w14:textId="77777777" w:rsidTr="00F47591">
        <w:tc>
          <w:tcPr>
            <w:tcW w:w="2437" w:type="dxa"/>
            <w:tcBorders>
              <w:top w:val="single" w:sz="4" w:space="0" w:color="auto"/>
              <w:left w:val="single" w:sz="4" w:space="0" w:color="auto"/>
              <w:bottom w:val="single" w:sz="4" w:space="0" w:color="auto"/>
              <w:right w:val="single" w:sz="4" w:space="0" w:color="auto"/>
            </w:tcBorders>
          </w:tcPr>
          <w:p w14:paraId="05E39871" w14:textId="77777777" w:rsidR="00163B58" w:rsidRDefault="00163B58" w:rsidP="00F47591">
            <w:pPr>
              <w:pStyle w:val="TAL"/>
              <w:ind w:left="227"/>
              <w:rPr>
                <w:lang w:eastAsia="ja-JP"/>
              </w:rPr>
            </w:pPr>
            <w:r>
              <w:rPr>
                <w:lang w:eastAsia="ja-JP"/>
              </w:rPr>
              <w:t>&gt;&gt;TNL</w:t>
            </w:r>
            <w:r>
              <w:rPr>
                <w:rFonts w:hint="eastAsia"/>
                <w:lang w:eastAsia="zh-CN"/>
              </w:rPr>
              <w:t xml:space="preserve"> </w:t>
            </w:r>
            <w:r>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075BECD0" w14:textId="77777777" w:rsidR="00163B58" w:rsidRDefault="00163B58" w:rsidP="00F47591">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C989F28"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1EB931" w14:textId="77777777" w:rsidR="00163B58" w:rsidRDefault="00163B58" w:rsidP="00F47591">
            <w:pPr>
              <w:pStyle w:val="TAL"/>
              <w:rPr>
                <w:lang w:eastAsia="ja-JP"/>
              </w:rPr>
            </w:pPr>
            <w:r>
              <w:rPr>
                <w:lang w:eastAsia="ja-JP"/>
              </w:rPr>
              <w:t>9.2.2.49</w:t>
            </w:r>
          </w:p>
        </w:tc>
        <w:tc>
          <w:tcPr>
            <w:tcW w:w="1262" w:type="dxa"/>
            <w:tcBorders>
              <w:top w:val="single" w:sz="4" w:space="0" w:color="auto"/>
              <w:left w:val="single" w:sz="4" w:space="0" w:color="auto"/>
              <w:bottom w:val="single" w:sz="4" w:space="0" w:color="auto"/>
              <w:right w:val="single" w:sz="4" w:space="0" w:color="auto"/>
            </w:tcBorders>
          </w:tcPr>
          <w:p w14:paraId="53B369C9"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4EE2DD2" w14:textId="77777777" w:rsidR="00163B58" w:rsidRDefault="00163B58" w:rsidP="00F47591">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060970C" w14:textId="77777777" w:rsidR="00163B58" w:rsidRDefault="00163B58" w:rsidP="00F47591">
            <w:pPr>
              <w:pStyle w:val="TAC"/>
              <w:rPr>
                <w:lang w:eastAsia="ja-JP"/>
              </w:rPr>
            </w:pPr>
          </w:p>
        </w:tc>
      </w:tr>
      <w:tr w:rsidR="00163B58" w:rsidRPr="00C017E2" w14:paraId="20160C68" w14:textId="77777777" w:rsidTr="00F47591">
        <w:tc>
          <w:tcPr>
            <w:tcW w:w="2437" w:type="dxa"/>
            <w:tcBorders>
              <w:top w:val="single" w:sz="4" w:space="0" w:color="auto"/>
              <w:left w:val="single" w:sz="4" w:space="0" w:color="auto"/>
              <w:bottom w:val="single" w:sz="4" w:space="0" w:color="auto"/>
              <w:right w:val="single" w:sz="4" w:space="0" w:color="auto"/>
            </w:tcBorders>
          </w:tcPr>
          <w:p w14:paraId="40FA6C16" w14:textId="77777777" w:rsidR="00163B58" w:rsidRDefault="00163B58" w:rsidP="00F47591">
            <w:pPr>
              <w:pStyle w:val="TAL"/>
              <w:ind w:left="227"/>
              <w:rPr>
                <w:lang w:eastAsia="ja-JP"/>
              </w:rPr>
            </w:pPr>
            <w:r>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621164FA" w14:textId="77777777" w:rsidR="00163B58" w:rsidRDefault="00163B58" w:rsidP="00F47591">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05BB49E"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2CFD85" w14:textId="77777777" w:rsidR="00163B58" w:rsidRDefault="00163B58" w:rsidP="00F47591">
            <w:pPr>
              <w:pStyle w:val="TAL"/>
              <w:rPr>
                <w:lang w:eastAsia="ja-JP"/>
              </w:rPr>
            </w:pPr>
            <w:r>
              <w:rPr>
                <w:lang w:eastAsia="ja-JP"/>
              </w:rPr>
              <w:t>9.2.2.51</w:t>
            </w:r>
          </w:p>
        </w:tc>
        <w:tc>
          <w:tcPr>
            <w:tcW w:w="1262" w:type="dxa"/>
            <w:tcBorders>
              <w:top w:val="single" w:sz="4" w:space="0" w:color="auto"/>
              <w:left w:val="single" w:sz="4" w:space="0" w:color="auto"/>
              <w:bottom w:val="single" w:sz="4" w:space="0" w:color="auto"/>
              <w:right w:val="single" w:sz="4" w:space="0" w:color="auto"/>
            </w:tcBorders>
          </w:tcPr>
          <w:p w14:paraId="7E06B546"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2653617" w14:textId="77777777" w:rsidR="00163B58" w:rsidRDefault="00163B58" w:rsidP="00F47591">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D8ED57" w14:textId="77777777" w:rsidR="00163B58" w:rsidRDefault="00163B58" w:rsidP="00F47591">
            <w:pPr>
              <w:pStyle w:val="TAC"/>
              <w:rPr>
                <w:lang w:eastAsia="ja-JP"/>
              </w:rPr>
            </w:pPr>
          </w:p>
        </w:tc>
      </w:tr>
      <w:tr w:rsidR="00163B58" w:rsidRPr="00C017E2" w14:paraId="7FD1AACB" w14:textId="77777777" w:rsidTr="00F47591">
        <w:tc>
          <w:tcPr>
            <w:tcW w:w="2437" w:type="dxa"/>
            <w:tcBorders>
              <w:top w:val="single" w:sz="4" w:space="0" w:color="auto"/>
              <w:left w:val="single" w:sz="4" w:space="0" w:color="auto"/>
              <w:bottom w:val="single" w:sz="4" w:space="0" w:color="auto"/>
              <w:right w:val="single" w:sz="4" w:space="0" w:color="auto"/>
            </w:tcBorders>
          </w:tcPr>
          <w:p w14:paraId="08E6B78B" w14:textId="77777777" w:rsidR="00163B58" w:rsidRDefault="00163B58" w:rsidP="00F47591">
            <w:pPr>
              <w:pStyle w:val="TAL"/>
              <w:ind w:left="227"/>
              <w:rPr>
                <w:lang w:eastAsia="zh-CN"/>
              </w:rPr>
            </w:pPr>
            <w:r>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161C0719" w14:textId="77777777" w:rsidR="00163B58" w:rsidRDefault="00163B58" w:rsidP="00F47591">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48F504"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EC775E" w14:textId="77777777" w:rsidR="00163B58" w:rsidRDefault="00163B58" w:rsidP="00F47591">
            <w:pPr>
              <w:pStyle w:val="TAL"/>
              <w:rPr>
                <w:lang w:eastAsia="ja-JP"/>
              </w:rPr>
            </w:pPr>
            <w:r>
              <w:rPr>
                <w:lang w:eastAsia="ja-JP"/>
              </w:rPr>
              <w:t>9.2.2.55</w:t>
            </w:r>
          </w:p>
        </w:tc>
        <w:tc>
          <w:tcPr>
            <w:tcW w:w="1262" w:type="dxa"/>
            <w:tcBorders>
              <w:top w:val="single" w:sz="4" w:space="0" w:color="auto"/>
              <w:left w:val="single" w:sz="4" w:space="0" w:color="auto"/>
              <w:bottom w:val="single" w:sz="4" w:space="0" w:color="auto"/>
              <w:right w:val="single" w:sz="4" w:space="0" w:color="auto"/>
            </w:tcBorders>
          </w:tcPr>
          <w:p w14:paraId="7BAC0D9D"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933048" w14:textId="77777777" w:rsidR="00163B58" w:rsidRDefault="00163B58" w:rsidP="00F47591">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AFF188" w14:textId="77777777" w:rsidR="00163B58" w:rsidRDefault="00163B58" w:rsidP="00F47591">
            <w:pPr>
              <w:pStyle w:val="TAC"/>
              <w:rPr>
                <w:lang w:eastAsia="ja-JP"/>
              </w:rPr>
            </w:pPr>
          </w:p>
        </w:tc>
      </w:tr>
      <w:tr w:rsidR="00163B58" w:rsidRPr="00C017E2" w14:paraId="254DD5A8" w14:textId="77777777" w:rsidTr="00F47591">
        <w:tc>
          <w:tcPr>
            <w:tcW w:w="2437" w:type="dxa"/>
            <w:tcBorders>
              <w:top w:val="single" w:sz="4" w:space="0" w:color="auto"/>
              <w:left w:val="single" w:sz="4" w:space="0" w:color="auto"/>
              <w:bottom w:val="single" w:sz="4" w:space="0" w:color="auto"/>
              <w:right w:val="single" w:sz="4" w:space="0" w:color="auto"/>
            </w:tcBorders>
          </w:tcPr>
          <w:p w14:paraId="29923D63" w14:textId="77777777" w:rsidR="00163B58" w:rsidRDefault="00163B58" w:rsidP="00F47591">
            <w:pPr>
              <w:pStyle w:val="TAL"/>
              <w:ind w:left="227"/>
              <w:rPr>
                <w:lang w:eastAsia="ja-JP"/>
              </w:rPr>
            </w:pPr>
            <w:r>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6A49BA61" w14:textId="77777777" w:rsidR="00163B58" w:rsidRDefault="00163B58" w:rsidP="00F47591">
            <w:pPr>
              <w:pStyle w:val="TAL"/>
              <w:rPr>
                <w:lang w:eastAsia="ja-JP"/>
              </w:rPr>
            </w:pPr>
            <w:r>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9801D04"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E5ED02" w14:textId="77777777" w:rsidR="00163B58" w:rsidRDefault="00163B58" w:rsidP="00F47591">
            <w:pPr>
              <w:pStyle w:val="TAL"/>
              <w:rPr>
                <w:lang w:eastAsia="ja-JP"/>
              </w:rPr>
            </w:pPr>
            <w:r>
              <w:rPr>
                <w:rFonts w:eastAsia="MS Mincho" w:cs="Arial"/>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39C2354D"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A83A110" w14:textId="77777777" w:rsidR="00163B58" w:rsidRDefault="00163B58" w:rsidP="00F47591">
            <w:pPr>
              <w:pStyle w:val="TAC"/>
              <w:rPr>
                <w:lang w:eastAsia="ja-JP"/>
              </w:rPr>
            </w:pPr>
            <w:r>
              <w:rPr>
                <w:lang w:eastAsia="ja-JP"/>
              </w:rPr>
              <w:t>–</w:t>
            </w:r>
            <w:r>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56C6D7B3" w14:textId="77777777" w:rsidR="00163B58" w:rsidRDefault="00163B58" w:rsidP="00F47591">
            <w:pPr>
              <w:pStyle w:val="TAC"/>
              <w:rPr>
                <w:lang w:eastAsia="ja-JP"/>
              </w:rPr>
            </w:pPr>
          </w:p>
        </w:tc>
      </w:tr>
      <w:tr w:rsidR="00163B58" w:rsidRPr="00C017E2" w14:paraId="658BF1D7" w14:textId="77777777" w:rsidTr="00F47591">
        <w:tc>
          <w:tcPr>
            <w:tcW w:w="2437" w:type="dxa"/>
            <w:tcBorders>
              <w:top w:val="single" w:sz="4" w:space="0" w:color="auto"/>
              <w:left w:val="single" w:sz="4" w:space="0" w:color="auto"/>
              <w:bottom w:val="single" w:sz="4" w:space="0" w:color="auto"/>
              <w:right w:val="single" w:sz="4" w:space="0" w:color="auto"/>
            </w:tcBorders>
          </w:tcPr>
          <w:p w14:paraId="360A4986" w14:textId="77777777" w:rsidR="00163B58" w:rsidRDefault="00163B58" w:rsidP="00F47591">
            <w:pPr>
              <w:pStyle w:val="TAL"/>
              <w:ind w:left="227"/>
              <w:rPr>
                <w:lang w:eastAsia="ja-JP"/>
              </w:rPr>
            </w:pPr>
            <w:r>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43B37C10" w14:textId="77777777" w:rsidR="00163B58" w:rsidRDefault="00163B58" w:rsidP="00F47591">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7AB383E" w14:textId="77777777" w:rsidR="00163B58" w:rsidRDefault="00163B58" w:rsidP="00F4759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9998D5" w14:textId="77777777" w:rsidR="00163B58" w:rsidRDefault="00163B58" w:rsidP="00F47591">
            <w:pPr>
              <w:pStyle w:val="TAL"/>
              <w:rPr>
                <w:lang w:eastAsia="ja-JP"/>
              </w:rPr>
            </w:pPr>
            <w:r>
              <w:rPr>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45891C50" w14:textId="77777777" w:rsidR="00163B58" w:rsidRDefault="00163B58" w:rsidP="00F4759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8100959" w14:textId="77777777" w:rsidR="00163B58" w:rsidRDefault="00163B58" w:rsidP="00F47591">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435E77" w14:textId="77777777" w:rsidR="00163B58" w:rsidRDefault="00163B58" w:rsidP="00F47591">
            <w:pPr>
              <w:pStyle w:val="TAC"/>
              <w:rPr>
                <w:lang w:eastAsia="ja-JP"/>
              </w:rPr>
            </w:pPr>
          </w:p>
        </w:tc>
      </w:tr>
    </w:tbl>
    <w:p w14:paraId="2356FC4A" w14:textId="22D6A02D" w:rsidR="00163B58" w:rsidRDefault="00163B58" w:rsidP="008559D6"/>
    <w:p w14:paraId="0BEC588F" w14:textId="77777777" w:rsidR="009C4DBA" w:rsidRDefault="009C4DBA" w:rsidP="009C4DBA">
      <w:r>
        <w:t xml:space="preserve">The occupancy and availability of the medium shall be related to each other, </w:t>
      </w:r>
      <w:proofErr w:type="gramStart"/>
      <w:r>
        <w:t>i.e.</w:t>
      </w:r>
      <w:proofErr w:type="gramEnd"/>
      <w:r>
        <w:t xml:space="preserve"> the percentages shall sum up to 100. Considering this, it does not seem that relevant which one is used. However, considering that other resources, </w:t>
      </w:r>
      <w:proofErr w:type="gramStart"/>
      <w:r>
        <w:t>e.g.</w:t>
      </w:r>
      <w:proofErr w:type="gramEnd"/>
      <w:r>
        <w:t xml:space="preserve"> Radio Resource Status, provide information on the consumed resources, it may be more logical to use the Occupancy instead of the Availability.</w:t>
      </w:r>
    </w:p>
    <w:p w14:paraId="050E2544" w14:textId="77777777" w:rsidR="009C4DBA" w:rsidRPr="0033469C" w:rsidRDefault="009C4DBA" w:rsidP="009C4DBA">
      <w:pPr>
        <w:rPr>
          <w:b/>
          <w:bCs/>
        </w:rPr>
      </w:pPr>
      <w:r w:rsidRPr="0033469C">
        <w:rPr>
          <w:b/>
          <w:bCs/>
        </w:rPr>
        <w:t xml:space="preserve">Proposal </w:t>
      </w:r>
      <w:r>
        <w:rPr>
          <w:b/>
          <w:bCs/>
        </w:rPr>
        <w:t>1-1</w:t>
      </w:r>
      <w:r w:rsidRPr="0033469C">
        <w:rPr>
          <w:b/>
          <w:bCs/>
        </w:rPr>
        <w:t xml:space="preserve">: NR-U </w:t>
      </w:r>
      <w:r>
        <w:rPr>
          <w:b/>
          <w:bCs/>
        </w:rPr>
        <w:t>medium</w:t>
      </w:r>
      <w:r w:rsidRPr="0033469C">
        <w:rPr>
          <w:b/>
          <w:bCs/>
        </w:rPr>
        <w:t xml:space="preserve"> occupancy is used.</w:t>
      </w:r>
    </w:p>
    <w:p w14:paraId="0AB867D7" w14:textId="77777777" w:rsidR="009C4DBA" w:rsidRDefault="009C4DBA" w:rsidP="009C4DBA">
      <w:r>
        <w:t xml:space="preserve">The term “NR-U channel” does not seem to be used in RAN2 yet. On the other hand, most measurements are done at the cell level. Also, in UL, according to the TS 38.321, LBT are counted per BWP. These are then summed up per serving cell. In DL though, according to the TS 37.213, a shared channel is referred to and this corresponds to the 20 MHz NR channel. </w:t>
      </w:r>
    </w:p>
    <w:p w14:paraId="5F74572E" w14:textId="77777777" w:rsidR="009C4DBA" w:rsidRPr="00AF3F7E" w:rsidRDefault="009C4DBA" w:rsidP="009C4DBA">
      <w:pPr>
        <w:rPr>
          <w:b/>
          <w:bCs/>
        </w:rPr>
      </w:pPr>
      <w:r w:rsidRPr="00AF3F7E">
        <w:rPr>
          <w:b/>
          <w:bCs/>
        </w:rPr>
        <w:t xml:space="preserve">Proposal </w:t>
      </w:r>
      <w:r>
        <w:rPr>
          <w:b/>
          <w:bCs/>
        </w:rPr>
        <w:t>1-2</w:t>
      </w:r>
      <w:r w:rsidRPr="00AF3F7E">
        <w:rPr>
          <w:b/>
          <w:bCs/>
        </w:rPr>
        <w:t xml:space="preserve">: RAN3 may assume the NR-U measurements are made per </w:t>
      </w:r>
      <w:r>
        <w:rPr>
          <w:b/>
          <w:bCs/>
        </w:rPr>
        <w:t xml:space="preserve">20 MHz </w:t>
      </w:r>
      <w:r w:rsidRPr="00AF3F7E">
        <w:rPr>
          <w:b/>
          <w:bCs/>
        </w:rPr>
        <w:t>NR</w:t>
      </w:r>
      <w:r>
        <w:rPr>
          <w:b/>
          <w:bCs/>
        </w:rPr>
        <w:t xml:space="preserve"> channel</w:t>
      </w:r>
      <w:r w:rsidRPr="00AF3F7E">
        <w:rPr>
          <w:b/>
          <w:bCs/>
        </w:rPr>
        <w:t>. RAN3 may consult RAN1 and RAN2, if needed.</w:t>
      </w:r>
    </w:p>
    <w:p w14:paraId="0D4162C5" w14:textId="77777777" w:rsidR="009C4DBA" w:rsidRDefault="009C4DBA" w:rsidP="009C4DBA">
      <w:r>
        <w:t xml:space="preserve">Also, according to the TS 38.321, in UE side, for UL, the LBT failures are reported from the lower layers to MAC. In case LBT fails, the MAC tries again until the configured timer expires or configured number of LBT attempts is </w:t>
      </w:r>
      <w:r>
        <w:lastRenderedPageBreak/>
        <w:t xml:space="preserve">reached. Then, RLF is </w:t>
      </w:r>
      <w:proofErr w:type="gramStart"/>
      <w:r>
        <w:t>declared</w:t>
      </w:r>
      <w:proofErr w:type="gramEnd"/>
      <w:r>
        <w:t xml:space="preserve"> and the network is informed once the connection is re-established. For DL, the best way to measure occupancy is to estimate the percentage of time during which the channel is “busy”. This can be done by sensing if the energy that channel exceeds given threshold </w:t>
      </w:r>
      <w:proofErr w:type="spellStart"/>
      <w:r>
        <w:t>X</w:t>
      </w:r>
      <w:r w:rsidRPr="00597BBA">
        <w:rPr>
          <w:vertAlign w:val="subscript"/>
        </w:rPr>
        <w:t>Thresh</w:t>
      </w:r>
      <w:proofErr w:type="spellEnd"/>
      <w:r>
        <w:rPr>
          <w:vertAlign w:val="subscript"/>
        </w:rPr>
        <w:t>.</w:t>
      </w:r>
      <w:r>
        <w:t>, the measurement of the occupancy is performed at antenna on network side. The goal is to provide an estimation of the load of the medium from radio point of view based on the amount of time the medium is considered as “busy” (</w:t>
      </w:r>
      <w:proofErr w:type="spellStart"/>
      <w:r>
        <w:t>X</w:t>
      </w:r>
      <w:r w:rsidRPr="009E46CB">
        <w:rPr>
          <w:vertAlign w:val="subscript"/>
        </w:rPr>
        <w:t>Thresh</w:t>
      </w:r>
      <w:proofErr w:type="spellEnd"/>
      <w:r>
        <w:t xml:space="preserve"> on any of the channels used for the transmission above the limit). </w:t>
      </w:r>
    </w:p>
    <w:p w14:paraId="2076D7FD" w14:textId="77777777" w:rsidR="009C4DBA" w:rsidRDefault="009C4DBA" w:rsidP="009C4DBA">
      <w:bookmarkStart w:id="2" w:name="_Hlk85703703"/>
      <w:r>
        <w:t xml:space="preserve">Note that the gNB may not constantly measure the medium and </w:t>
      </w:r>
      <w:proofErr w:type="gramStart"/>
      <w:r>
        <w:t>as a consequence</w:t>
      </w:r>
      <w:proofErr w:type="gramEnd"/>
      <w:r>
        <w:t xml:space="preserve"> the measurement is an estimation of the occupancy time. The gNB is free to choose the way to estimate the occupancy based on its measurements.</w:t>
      </w:r>
    </w:p>
    <w:p w14:paraId="0A48D623" w14:textId="77777777" w:rsidR="009C4DBA" w:rsidRDefault="009C4DBA" w:rsidP="009C4DBA">
      <w:pPr>
        <w:rPr>
          <w:b/>
          <w:bCs/>
        </w:rPr>
      </w:pPr>
      <w:r w:rsidRPr="00AF3F7E">
        <w:rPr>
          <w:b/>
          <w:bCs/>
        </w:rPr>
        <w:t xml:space="preserve">Proposal </w:t>
      </w:r>
      <w:r>
        <w:rPr>
          <w:b/>
          <w:bCs/>
        </w:rPr>
        <w:t>1-3</w:t>
      </w:r>
      <w:r w:rsidRPr="00AF3F7E">
        <w:rPr>
          <w:b/>
          <w:bCs/>
        </w:rPr>
        <w:t xml:space="preserve">: </w:t>
      </w:r>
      <w:r>
        <w:rPr>
          <w:b/>
          <w:bCs/>
        </w:rPr>
        <w:t xml:space="preserve">It is clarified that the occupancy indication is based on the percentage of time during which the medium is considered “busy” (energy is exceeding </w:t>
      </w:r>
      <w:proofErr w:type="spellStart"/>
      <w:r>
        <w:t>X</w:t>
      </w:r>
      <w:r w:rsidRPr="009E46CB">
        <w:rPr>
          <w:vertAlign w:val="subscript"/>
        </w:rPr>
        <w:t>Thresh</w:t>
      </w:r>
      <w:proofErr w:type="spellEnd"/>
      <w:r>
        <w:rPr>
          <w:b/>
          <w:bCs/>
        </w:rPr>
        <w:t xml:space="preserve"> level).</w:t>
      </w:r>
      <w:r w:rsidRPr="00DA0108">
        <w:rPr>
          <w:b/>
          <w:bCs/>
        </w:rPr>
        <w:t xml:space="preserve"> </w:t>
      </w:r>
      <w:r w:rsidRPr="00AF3F7E">
        <w:rPr>
          <w:b/>
          <w:bCs/>
        </w:rPr>
        <w:t>RAN3 may consult RAN1 and RAN2, if needed.</w:t>
      </w:r>
    </w:p>
    <w:bookmarkEnd w:id="2"/>
    <w:p w14:paraId="224DD12D" w14:textId="77777777" w:rsidR="00E4441E" w:rsidRDefault="00E4441E" w:rsidP="00E4441E">
      <w:pPr>
        <w:pStyle w:val="Heading2"/>
      </w:pPr>
      <w:r>
        <w:t>2.2</w:t>
      </w:r>
      <w:r>
        <w:tab/>
        <w:t>MRO</w:t>
      </w:r>
    </w:p>
    <w:p w14:paraId="00BA20A2" w14:textId="77777777" w:rsidR="009C4DBA" w:rsidRDefault="009C4DBA" w:rsidP="009C4DBA">
      <w:r>
        <w:t>Mobility Robustness Optimization (</w:t>
      </w:r>
      <w:r w:rsidRPr="00CF0C6D">
        <w:t>MRO</w:t>
      </w:r>
      <w:r>
        <w:t>)</w:t>
      </w:r>
      <w:r w:rsidRPr="00CF0C6D">
        <w:t xml:space="preserve"> </w:t>
      </w:r>
      <w:r>
        <w:t>aims</w:t>
      </w:r>
      <w:r w:rsidRPr="00CF0C6D">
        <w:t xml:space="preserve"> to optimize the handover parameter</w:t>
      </w:r>
      <w:r>
        <w:t>s</w:t>
      </w:r>
      <w:r w:rsidRPr="00CF0C6D">
        <w:t xml:space="preserve"> being responsible for </w:t>
      </w:r>
      <w:r>
        <w:t xml:space="preserve">the optimal </w:t>
      </w:r>
      <w:r w:rsidRPr="00CF0C6D">
        <w:t xml:space="preserve">timing of </w:t>
      </w:r>
      <w:r>
        <w:t xml:space="preserve">the </w:t>
      </w:r>
      <w:r w:rsidRPr="00CF0C6D">
        <w:t>handover process</w:t>
      </w:r>
      <w:r>
        <w:t xml:space="preserve">. </w:t>
      </w:r>
      <w:r w:rsidRPr="00506EDA">
        <w:t xml:space="preserve">MRO </w:t>
      </w:r>
      <w:r>
        <w:t xml:space="preserve">may utilize RLF </w:t>
      </w:r>
      <w:r w:rsidRPr="00506EDA">
        <w:t>report</w:t>
      </w:r>
      <w:r>
        <w:t xml:space="preserve">s by analysing the causes of radio link failures and </w:t>
      </w:r>
      <w:r w:rsidRPr="00506EDA">
        <w:t>handover failures</w:t>
      </w:r>
      <w:r>
        <w:t xml:space="preserve">. In NR-U access in the uplink and downlink can be delayed due to LBT. Since delayed </w:t>
      </w:r>
      <w:proofErr w:type="spellStart"/>
      <w:r>
        <w:t>signaling</w:t>
      </w:r>
      <w:proofErr w:type="spellEnd"/>
      <w:r>
        <w:t xml:space="preserve"> or reporting may impact the handover procedure, handover procedures in NR-U follow a pre-configuration principle, as in CHO, where a UE is pre-configured with a handover condition and executes the handover when the condition is satisfied. </w:t>
      </w:r>
    </w:p>
    <w:p w14:paraId="7F82A1F7" w14:textId="77777777" w:rsidR="009C4DBA" w:rsidRDefault="009C4DBA" w:rsidP="009C4DBA">
      <w:pPr>
        <w:pStyle w:val="Header"/>
        <w:tabs>
          <w:tab w:val="right" w:pos="9639"/>
        </w:tabs>
        <w:jc w:val="both"/>
        <w:rPr>
          <w:rFonts w:ascii="Times New Roman" w:hAnsi="Times New Roman"/>
          <w:b w:val="0"/>
          <w:noProof w:val="0"/>
          <w:sz w:val="20"/>
          <w:lang w:eastAsia="en-US"/>
        </w:rPr>
      </w:pPr>
      <w:r w:rsidRPr="00506EDA">
        <w:rPr>
          <w:rFonts w:ascii="Times New Roman" w:hAnsi="Times New Roman"/>
          <w:b w:val="0"/>
          <w:noProof w:val="0"/>
          <w:sz w:val="20"/>
          <w:lang w:eastAsia="en-US"/>
        </w:rPr>
        <w:t xml:space="preserve">In NR-U, event-triggered messages may suffer from waiting periods before getting channel access. Those waiting periods may interfere with the handover timing and may cause RLFs which would not happen without this waiting. However, with existing mechanisms </w:t>
      </w:r>
      <w:r>
        <w:rPr>
          <w:rFonts w:ascii="Times New Roman" w:hAnsi="Times New Roman"/>
          <w:b w:val="0"/>
          <w:noProof w:val="0"/>
          <w:sz w:val="20"/>
          <w:lang w:eastAsia="en-US"/>
        </w:rPr>
        <w:t xml:space="preserve">MRO may not properly work in NR-U, since </w:t>
      </w:r>
      <w:r w:rsidRPr="00506EDA">
        <w:rPr>
          <w:rFonts w:ascii="Times New Roman" w:hAnsi="Times New Roman"/>
          <w:b w:val="0"/>
          <w:noProof w:val="0"/>
          <w:sz w:val="20"/>
          <w:lang w:eastAsia="en-US"/>
        </w:rPr>
        <w:t xml:space="preserve">the </w:t>
      </w:r>
      <w:r>
        <w:rPr>
          <w:rFonts w:ascii="Times New Roman" w:hAnsi="Times New Roman"/>
          <w:b w:val="0"/>
          <w:noProof w:val="0"/>
          <w:sz w:val="20"/>
          <w:lang w:eastAsia="en-US"/>
        </w:rPr>
        <w:t>network does not know whether</w:t>
      </w:r>
      <w:r w:rsidRPr="00506EDA">
        <w:rPr>
          <w:rFonts w:ascii="Times New Roman" w:hAnsi="Times New Roman"/>
          <w:b w:val="0"/>
          <w:noProof w:val="0"/>
          <w:sz w:val="20"/>
          <w:lang w:eastAsia="en-US"/>
        </w:rPr>
        <w:t xml:space="preserve"> the</w:t>
      </w:r>
      <w:r>
        <w:rPr>
          <w:rFonts w:ascii="Times New Roman" w:hAnsi="Times New Roman"/>
          <w:b w:val="0"/>
          <w:noProof w:val="0"/>
          <w:sz w:val="20"/>
          <w:lang w:eastAsia="en-US"/>
        </w:rPr>
        <w:t xml:space="preserve"> failure was caused by additional delays introduced by failed LBT attempts in shared spectrum.</w:t>
      </w:r>
      <w:r w:rsidRPr="00506EDA">
        <w:rPr>
          <w:rFonts w:ascii="Times New Roman" w:hAnsi="Times New Roman"/>
          <w:b w:val="0"/>
          <w:noProof w:val="0"/>
          <w:sz w:val="20"/>
          <w:lang w:eastAsia="en-US"/>
        </w:rPr>
        <w:t xml:space="preserve"> </w:t>
      </w:r>
      <w:r>
        <w:rPr>
          <w:rFonts w:ascii="Times New Roman" w:hAnsi="Times New Roman"/>
          <w:b w:val="0"/>
          <w:noProof w:val="0"/>
          <w:sz w:val="20"/>
          <w:lang w:eastAsia="en-US"/>
        </w:rPr>
        <w:t xml:space="preserve">We illustrate this problem through an example illustrated in </w:t>
      </w:r>
      <w:r>
        <w:rPr>
          <w:rFonts w:ascii="Times New Roman" w:hAnsi="Times New Roman"/>
          <w:b w:val="0"/>
          <w:noProof w:val="0"/>
          <w:sz w:val="20"/>
          <w:lang w:eastAsia="en-US"/>
        </w:rPr>
        <w:fldChar w:fldCharType="begin"/>
      </w:r>
      <w:r>
        <w:rPr>
          <w:rFonts w:ascii="Times New Roman" w:hAnsi="Times New Roman"/>
          <w:b w:val="0"/>
          <w:noProof w:val="0"/>
          <w:sz w:val="20"/>
          <w:lang w:eastAsia="en-US"/>
        </w:rPr>
        <w:instrText xml:space="preserve"> REF _Ref78209067 \h  \* MERGEFORMAT </w:instrText>
      </w:r>
      <w:r>
        <w:rPr>
          <w:rFonts w:ascii="Times New Roman" w:hAnsi="Times New Roman"/>
          <w:b w:val="0"/>
          <w:noProof w:val="0"/>
          <w:sz w:val="20"/>
          <w:lang w:eastAsia="en-US"/>
        </w:rPr>
      </w:r>
      <w:r>
        <w:rPr>
          <w:rFonts w:ascii="Times New Roman" w:hAnsi="Times New Roman"/>
          <w:b w:val="0"/>
          <w:noProof w:val="0"/>
          <w:sz w:val="20"/>
          <w:lang w:eastAsia="en-US"/>
        </w:rPr>
        <w:fldChar w:fldCharType="separate"/>
      </w:r>
      <w:r w:rsidRPr="00506EDA">
        <w:rPr>
          <w:rFonts w:ascii="Times New Roman" w:hAnsi="Times New Roman"/>
          <w:b w:val="0"/>
          <w:noProof w:val="0"/>
          <w:sz w:val="20"/>
          <w:lang w:eastAsia="en-US"/>
        </w:rPr>
        <w:t>Figure 1</w:t>
      </w:r>
      <w:r>
        <w:rPr>
          <w:rFonts w:ascii="Times New Roman" w:hAnsi="Times New Roman"/>
          <w:b w:val="0"/>
          <w:noProof w:val="0"/>
          <w:sz w:val="20"/>
          <w:lang w:eastAsia="en-US"/>
        </w:rPr>
        <w:fldChar w:fldCharType="end"/>
      </w:r>
      <w:r>
        <w:rPr>
          <w:rFonts w:ascii="Times New Roman" w:hAnsi="Times New Roman"/>
          <w:b w:val="0"/>
          <w:noProof w:val="0"/>
          <w:sz w:val="20"/>
          <w:lang w:eastAsia="en-US"/>
        </w:rPr>
        <w:t xml:space="preserve">. </w:t>
      </w:r>
    </w:p>
    <w:p w14:paraId="518C8CFF" w14:textId="77777777" w:rsidR="009C4DBA" w:rsidRDefault="009C4DBA" w:rsidP="009C4DBA">
      <w:pPr>
        <w:pStyle w:val="Header"/>
        <w:tabs>
          <w:tab w:val="right" w:pos="9639"/>
        </w:tabs>
        <w:jc w:val="both"/>
        <w:rPr>
          <w:rFonts w:ascii="Times New Roman" w:hAnsi="Times New Roman"/>
          <w:b w:val="0"/>
          <w:noProof w:val="0"/>
          <w:sz w:val="20"/>
          <w:lang w:eastAsia="en-US"/>
        </w:rPr>
      </w:pPr>
    </w:p>
    <w:p w14:paraId="1809F937" w14:textId="77777777" w:rsidR="009C4DBA" w:rsidRDefault="009C4DBA" w:rsidP="009C4DBA">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eastAsia="en-US"/>
        </w:rPr>
        <w:t>In the example, it is assumed that A3 measurement event will trigger both preparation and execution in a CHO handover</w:t>
      </w:r>
      <w:r w:rsidRPr="00B938D9">
        <w:rPr>
          <w:rFonts w:ascii="Times New Roman" w:hAnsi="Times New Roman"/>
          <w:b w:val="0"/>
          <w:noProof w:val="0"/>
          <w:sz w:val="20"/>
          <w:lang w:eastAsia="en-US"/>
        </w:rPr>
        <w:t>.</w:t>
      </w:r>
      <w:r>
        <w:rPr>
          <w:rFonts w:ascii="Times New Roman" w:hAnsi="Times New Roman"/>
          <w:b w:val="0"/>
          <w:noProof w:val="0"/>
          <w:sz w:val="20"/>
          <w:lang w:eastAsia="en-US"/>
        </w:rPr>
        <w:t xml:space="preserve"> </w:t>
      </w:r>
      <w:r w:rsidRPr="001367D1">
        <w:rPr>
          <w:rFonts w:ascii="Times New Roman" w:hAnsi="Times New Roman"/>
          <w:b w:val="0"/>
          <w:noProof w:val="0"/>
          <w:sz w:val="20"/>
          <w:lang w:eastAsia="en-US"/>
        </w:rPr>
        <w:t xml:space="preserve">The corresponding A3 </w:t>
      </w:r>
      <w:r>
        <w:rPr>
          <w:rFonts w:ascii="Times New Roman" w:hAnsi="Times New Roman"/>
          <w:b w:val="0"/>
          <w:noProof w:val="0"/>
          <w:sz w:val="20"/>
          <w:lang w:eastAsia="en-US"/>
        </w:rPr>
        <w:t xml:space="preserve">measurement </w:t>
      </w:r>
      <w:r w:rsidRPr="001367D1">
        <w:rPr>
          <w:rFonts w:ascii="Times New Roman" w:hAnsi="Times New Roman"/>
          <w:b w:val="0"/>
          <w:noProof w:val="0"/>
          <w:sz w:val="20"/>
          <w:lang w:eastAsia="en-US"/>
        </w:rPr>
        <w:t>events</w:t>
      </w:r>
      <w:r>
        <w:rPr>
          <w:rFonts w:ascii="Times New Roman" w:hAnsi="Times New Roman"/>
          <w:b w:val="0"/>
          <w:noProof w:val="0"/>
          <w:sz w:val="20"/>
          <w:lang w:eastAsia="en-US"/>
        </w:rPr>
        <w:t xml:space="preserve"> in the figure</w:t>
      </w:r>
      <w:r w:rsidRPr="001367D1">
        <w:rPr>
          <w:rFonts w:ascii="Times New Roman" w:hAnsi="Times New Roman"/>
          <w:b w:val="0"/>
          <w:noProof w:val="0"/>
          <w:sz w:val="20"/>
          <w:lang w:eastAsia="en-US"/>
        </w:rPr>
        <w:t xml:space="preserve"> are called A3_prep</w:t>
      </w:r>
      <w:r>
        <w:rPr>
          <w:rFonts w:ascii="Times New Roman" w:hAnsi="Times New Roman"/>
          <w:b w:val="0"/>
          <w:noProof w:val="0"/>
          <w:sz w:val="20"/>
          <w:lang w:eastAsia="en-US"/>
        </w:rPr>
        <w:t>_offset</w:t>
      </w:r>
      <w:r w:rsidRPr="001367D1">
        <w:rPr>
          <w:rFonts w:ascii="Times New Roman" w:hAnsi="Times New Roman"/>
          <w:b w:val="0"/>
          <w:noProof w:val="0"/>
          <w:sz w:val="20"/>
          <w:lang w:eastAsia="en-US"/>
        </w:rPr>
        <w:t xml:space="preserve"> and A3_exec</w:t>
      </w:r>
      <w:r>
        <w:rPr>
          <w:rFonts w:ascii="Times New Roman" w:hAnsi="Times New Roman"/>
          <w:b w:val="0"/>
          <w:noProof w:val="0"/>
          <w:sz w:val="20"/>
          <w:lang w:eastAsia="en-US"/>
        </w:rPr>
        <w:t>_offset</w:t>
      </w:r>
      <w:r w:rsidRPr="001367D1">
        <w:rPr>
          <w:rFonts w:ascii="Times New Roman" w:hAnsi="Times New Roman"/>
          <w:b w:val="0"/>
          <w:noProof w:val="0"/>
          <w:sz w:val="20"/>
          <w:lang w:eastAsia="en-US"/>
        </w:rPr>
        <w:t>.</w:t>
      </w:r>
      <w:r>
        <w:rPr>
          <w:rFonts w:ascii="Times New Roman" w:hAnsi="Times New Roman"/>
          <w:b w:val="0"/>
          <w:noProof w:val="0"/>
          <w:sz w:val="20"/>
          <w:lang w:eastAsia="en-US"/>
        </w:rPr>
        <w:t xml:space="preserve"> </w:t>
      </w:r>
      <w:r w:rsidRPr="00B938D9">
        <w:rPr>
          <w:rFonts w:ascii="Times New Roman" w:hAnsi="Times New Roman"/>
          <w:b w:val="0"/>
          <w:noProof w:val="0"/>
          <w:sz w:val="20"/>
          <w:lang w:eastAsia="en-US"/>
        </w:rPr>
        <w:fldChar w:fldCharType="begin"/>
      </w:r>
      <w:r w:rsidRPr="00B938D9">
        <w:rPr>
          <w:rFonts w:ascii="Times New Roman" w:hAnsi="Times New Roman"/>
          <w:b w:val="0"/>
          <w:noProof w:val="0"/>
          <w:sz w:val="20"/>
          <w:lang w:eastAsia="en-US"/>
        </w:rPr>
        <w:instrText xml:space="preserve"> REF _Ref71280697 \h  \* MERGEFORMAT </w:instrText>
      </w:r>
      <w:r w:rsidRPr="00B938D9">
        <w:rPr>
          <w:rFonts w:ascii="Times New Roman" w:hAnsi="Times New Roman"/>
          <w:b w:val="0"/>
          <w:noProof w:val="0"/>
          <w:sz w:val="20"/>
          <w:lang w:eastAsia="en-US"/>
        </w:rPr>
      </w:r>
      <w:r w:rsidRPr="00B938D9">
        <w:rPr>
          <w:rFonts w:ascii="Times New Roman" w:hAnsi="Times New Roman"/>
          <w:b w:val="0"/>
          <w:noProof w:val="0"/>
          <w:sz w:val="20"/>
          <w:lang w:eastAsia="en-US"/>
        </w:rPr>
        <w:fldChar w:fldCharType="separate"/>
      </w:r>
      <w:r w:rsidRPr="00B938D9">
        <w:rPr>
          <w:rFonts w:ascii="Times New Roman" w:hAnsi="Times New Roman"/>
          <w:b w:val="0"/>
          <w:noProof w:val="0"/>
          <w:sz w:val="20"/>
          <w:lang w:eastAsia="en-US"/>
        </w:rPr>
        <w:t>Figure 1</w:t>
      </w:r>
      <w:r w:rsidRPr="00B938D9">
        <w:rPr>
          <w:rFonts w:ascii="Times New Roman" w:hAnsi="Times New Roman"/>
          <w:b w:val="0"/>
          <w:noProof w:val="0"/>
          <w:sz w:val="20"/>
          <w:lang w:eastAsia="en-US"/>
        </w:rPr>
        <w:fldChar w:fldCharType="end"/>
      </w:r>
      <w:r>
        <w:rPr>
          <w:rFonts w:ascii="Times New Roman" w:hAnsi="Times New Roman"/>
          <w:b w:val="0"/>
          <w:noProof w:val="0"/>
          <w:sz w:val="20"/>
          <w:lang w:eastAsia="en-US"/>
        </w:rPr>
        <w:t xml:space="preserve"> also shows </w:t>
      </w:r>
      <w:r w:rsidRPr="001367D1">
        <w:rPr>
          <w:rFonts w:ascii="Times New Roman" w:hAnsi="Times New Roman"/>
          <w:b w:val="0"/>
          <w:noProof w:val="0"/>
          <w:sz w:val="20"/>
          <w:lang w:eastAsia="en-US"/>
        </w:rPr>
        <w:t>the RSRP measurement</w:t>
      </w:r>
      <w:r>
        <w:rPr>
          <w:rFonts w:ascii="Times New Roman" w:hAnsi="Times New Roman"/>
          <w:b w:val="0"/>
          <w:noProof w:val="0"/>
          <w:sz w:val="20"/>
          <w:lang w:eastAsia="en-US"/>
        </w:rPr>
        <w:t>s</w:t>
      </w:r>
      <w:r w:rsidRPr="001367D1">
        <w:rPr>
          <w:rFonts w:ascii="Times New Roman" w:hAnsi="Times New Roman"/>
          <w:b w:val="0"/>
          <w:noProof w:val="0"/>
          <w:sz w:val="20"/>
          <w:lang w:eastAsia="en-US"/>
        </w:rPr>
        <w:t xml:space="preserve"> (in NR the SSB-RSRP) over time (t) for a moving UE, where the blue line represents the RSRP values the UE is measuring from its </w:t>
      </w:r>
      <w:r>
        <w:rPr>
          <w:rFonts w:ascii="Times New Roman" w:hAnsi="Times New Roman"/>
          <w:b w:val="0"/>
          <w:noProof w:val="0"/>
          <w:sz w:val="20"/>
          <w:lang w:eastAsia="en-US"/>
        </w:rPr>
        <w:t>S</w:t>
      </w:r>
      <w:r w:rsidRPr="001367D1">
        <w:rPr>
          <w:rFonts w:ascii="Times New Roman" w:hAnsi="Times New Roman"/>
          <w:b w:val="0"/>
          <w:noProof w:val="0"/>
          <w:sz w:val="20"/>
          <w:lang w:eastAsia="en-US"/>
        </w:rPr>
        <w:t xml:space="preserve">erving </w:t>
      </w:r>
      <w:r>
        <w:rPr>
          <w:rFonts w:ascii="Times New Roman" w:hAnsi="Times New Roman"/>
          <w:b w:val="0"/>
          <w:noProof w:val="0"/>
          <w:sz w:val="20"/>
          <w:lang w:eastAsia="en-US"/>
        </w:rPr>
        <w:t>N</w:t>
      </w:r>
      <w:r w:rsidRPr="001367D1">
        <w:rPr>
          <w:rFonts w:ascii="Times New Roman" w:hAnsi="Times New Roman"/>
          <w:b w:val="0"/>
          <w:noProof w:val="0"/>
          <w:sz w:val="20"/>
          <w:lang w:eastAsia="en-US"/>
        </w:rPr>
        <w:t>ell</w:t>
      </w:r>
      <w:r>
        <w:rPr>
          <w:rFonts w:ascii="Times New Roman" w:hAnsi="Times New Roman"/>
          <w:b w:val="0"/>
          <w:noProof w:val="0"/>
          <w:sz w:val="20"/>
          <w:lang w:eastAsia="en-US"/>
        </w:rPr>
        <w:t xml:space="preserve"> (Cell 1)</w:t>
      </w:r>
      <w:r w:rsidRPr="001367D1">
        <w:rPr>
          <w:rFonts w:ascii="Times New Roman" w:hAnsi="Times New Roman"/>
          <w:b w:val="0"/>
          <w:noProof w:val="0"/>
          <w:sz w:val="20"/>
          <w:lang w:eastAsia="en-US"/>
        </w:rPr>
        <w:t xml:space="preserve"> before handover, while green and yellow lines represent </w:t>
      </w:r>
      <w:r>
        <w:rPr>
          <w:rFonts w:ascii="Times New Roman" w:hAnsi="Times New Roman"/>
          <w:b w:val="0"/>
          <w:noProof w:val="0"/>
          <w:sz w:val="20"/>
          <w:lang w:eastAsia="en-US"/>
        </w:rPr>
        <w:t>N</w:t>
      </w:r>
      <w:r w:rsidRPr="001367D1">
        <w:rPr>
          <w:rFonts w:ascii="Times New Roman" w:hAnsi="Times New Roman"/>
          <w:b w:val="0"/>
          <w:noProof w:val="0"/>
          <w:sz w:val="20"/>
          <w:lang w:eastAsia="en-US"/>
        </w:rPr>
        <w:t>eighbo</w:t>
      </w:r>
      <w:r>
        <w:rPr>
          <w:rFonts w:ascii="Times New Roman" w:hAnsi="Times New Roman"/>
          <w:b w:val="0"/>
          <w:noProof w:val="0"/>
          <w:sz w:val="20"/>
          <w:lang w:eastAsia="en-US"/>
        </w:rPr>
        <w:t>u</w:t>
      </w:r>
      <w:r w:rsidRPr="001367D1">
        <w:rPr>
          <w:rFonts w:ascii="Times New Roman" w:hAnsi="Times New Roman"/>
          <w:b w:val="0"/>
          <w:noProof w:val="0"/>
          <w:sz w:val="20"/>
          <w:lang w:eastAsia="en-US"/>
        </w:rPr>
        <w:t xml:space="preserve">r </w:t>
      </w:r>
      <w:r>
        <w:rPr>
          <w:rFonts w:ascii="Times New Roman" w:hAnsi="Times New Roman"/>
          <w:b w:val="0"/>
          <w:noProof w:val="0"/>
          <w:sz w:val="20"/>
          <w:lang w:eastAsia="en-US"/>
        </w:rPr>
        <w:t>C</w:t>
      </w:r>
      <w:r w:rsidRPr="001367D1">
        <w:rPr>
          <w:rFonts w:ascii="Times New Roman" w:hAnsi="Times New Roman"/>
          <w:b w:val="0"/>
          <w:noProof w:val="0"/>
          <w:sz w:val="20"/>
          <w:lang w:eastAsia="en-US"/>
        </w:rPr>
        <w:t>ell measurements</w:t>
      </w:r>
      <w:r>
        <w:rPr>
          <w:rFonts w:ascii="Times New Roman" w:hAnsi="Times New Roman"/>
          <w:b w:val="0"/>
          <w:noProof w:val="0"/>
          <w:sz w:val="20"/>
          <w:lang w:eastAsia="en-US"/>
        </w:rPr>
        <w:t xml:space="preserve">, namely from Cell 2 and Cell 3 respectively. </w:t>
      </w:r>
      <w:r w:rsidRPr="00B938D9">
        <w:rPr>
          <w:rFonts w:ascii="Times New Roman" w:hAnsi="Times New Roman"/>
          <w:b w:val="0"/>
          <w:noProof w:val="0"/>
          <w:sz w:val="20"/>
          <w:lang w:eastAsia="en-US"/>
        </w:rPr>
        <w:fldChar w:fldCharType="begin"/>
      </w:r>
      <w:r w:rsidRPr="00B938D9">
        <w:rPr>
          <w:rFonts w:ascii="Times New Roman" w:hAnsi="Times New Roman"/>
          <w:b w:val="0"/>
          <w:noProof w:val="0"/>
          <w:sz w:val="20"/>
          <w:lang w:eastAsia="en-US"/>
        </w:rPr>
        <w:instrText xml:space="preserve"> REF _Ref71280697 \h  \* MERGEFORMAT </w:instrText>
      </w:r>
      <w:r w:rsidRPr="00B938D9">
        <w:rPr>
          <w:rFonts w:ascii="Times New Roman" w:hAnsi="Times New Roman"/>
          <w:b w:val="0"/>
          <w:noProof w:val="0"/>
          <w:sz w:val="20"/>
          <w:lang w:eastAsia="en-US"/>
        </w:rPr>
      </w:r>
      <w:r w:rsidRPr="00B938D9">
        <w:rPr>
          <w:rFonts w:ascii="Times New Roman" w:hAnsi="Times New Roman"/>
          <w:b w:val="0"/>
          <w:noProof w:val="0"/>
          <w:sz w:val="20"/>
          <w:lang w:eastAsia="en-US"/>
        </w:rPr>
        <w:fldChar w:fldCharType="separate"/>
      </w:r>
      <w:r w:rsidRPr="00B938D9">
        <w:rPr>
          <w:rFonts w:ascii="Times New Roman" w:hAnsi="Times New Roman"/>
          <w:b w:val="0"/>
          <w:noProof w:val="0"/>
          <w:sz w:val="20"/>
          <w:lang w:eastAsia="en-US"/>
        </w:rPr>
        <w:t>Figure 1</w:t>
      </w:r>
      <w:r w:rsidRPr="00B938D9">
        <w:rPr>
          <w:rFonts w:ascii="Times New Roman" w:hAnsi="Times New Roman"/>
          <w:b w:val="0"/>
          <w:noProof w:val="0"/>
          <w:sz w:val="20"/>
          <w:lang w:eastAsia="en-US"/>
        </w:rPr>
        <w:fldChar w:fldCharType="end"/>
      </w:r>
      <w:r>
        <w:rPr>
          <w:rFonts w:ascii="Times New Roman" w:hAnsi="Times New Roman"/>
          <w:b w:val="0"/>
          <w:noProof w:val="0"/>
          <w:sz w:val="20"/>
          <w:lang w:eastAsia="en-US"/>
        </w:rPr>
        <w:t xml:space="preserve"> also shows the impact of channel access delays due to LBT in the different phases of a CHO handover. </w:t>
      </w:r>
    </w:p>
    <w:p w14:paraId="51AA8002" w14:textId="77777777" w:rsidR="009C4DBA" w:rsidRDefault="009C4DBA" w:rsidP="009C4DBA">
      <w:pPr>
        <w:pStyle w:val="Header"/>
        <w:tabs>
          <w:tab w:val="right" w:pos="9639"/>
        </w:tabs>
        <w:jc w:val="both"/>
        <w:rPr>
          <w:rFonts w:ascii="Times New Roman" w:hAnsi="Times New Roman"/>
          <w:b w:val="0"/>
          <w:noProof w:val="0"/>
          <w:sz w:val="20"/>
          <w:lang w:eastAsia="en-US"/>
        </w:rPr>
      </w:pPr>
    </w:p>
    <w:p w14:paraId="14FD9C14" w14:textId="77777777" w:rsidR="009C4DBA" w:rsidRDefault="009C4DBA" w:rsidP="009C4DBA">
      <w:pPr>
        <w:keepNext/>
        <w:spacing w:after="120"/>
        <w:ind w:left="357"/>
        <w:jc w:val="center"/>
      </w:pPr>
      <w:r>
        <w:rPr>
          <w:noProof/>
        </w:rPr>
        <w:drawing>
          <wp:inline distT="0" distB="0" distL="0" distR="0" wp14:anchorId="31C50C8D" wp14:editId="6F7F5D5A">
            <wp:extent cx="5810864" cy="2431992"/>
            <wp:effectExtent l="0" t="0" r="0" b="698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828666" cy="2439443"/>
                    </a:xfrm>
                    <a:prstGeom prst="rect">
                      <a:avLst/>
                    </a:prstGeom>
                  </pic:spPr>
                </pic:pic>
              </a:graphicData>
            </a:graphic>
          </wp:inline>
        </w:drawing>
      </w:r>
    </w:p>
    <w:p w14:paraId="60596C74" w14:textId="77777777" w:rsidR="009C4DBA" w:rsidRDefault="009C4DBA" w:rsidP="009C4DBA">
      <w:pPr>
        <w:pStyle w:val="Caption"/>
        <w:jc w:val="center"/>
      </w:pPr>
      <w:bookmarkStart w:id="3" w:name="_Ref78209067"/>
      <w:r>
        <w:t xml:space="preserve">Figure </w:t>
      </w:r>
      <w:r>
        <w:fldChar w:fldCharType="begin"/>
      </w:r>
      <w:r>
        <w:instrText xml:space="preserve"> SEQ Figure \* ARABIC </w:instrText>
      </w:r>
      <w:r>
        <w:fldChar w:fldCharType="separate"/>
      </w:r>
      <w:r>
        <w:rPr>
          <w:noProof/>
        </w:rPr>
        <w:t>1</w:t>
      </w:r>
      <w:r>
        <w:rPr>
          <w:noProof/>
        </w:rPr>
        <w:fldChar w:fldCharType="end"/>
      </w:r>
      <w:bookmarkEnd w:id="3"/>
      <w:r>
        <w:t xml:space="preserve"> </w:t>
      </w:r>
      <w:r w:rsidRPr="0081104D">
        <w:t>Timing aspects of CHO mobility for NR-U</w:t>
      </w:r>
    </w:p>
    <w:p w14:paraId="61A27907" w14:textId="77777777" w:rsidR="009C4DBA" w:rsidRPr="00A611A7" w:rsidRDefault="009C4DBA" w:rsidP="009C4DBA">
      <w:pPr>
        <w:spacing w:after="120"/>
      </w:pPr>
      <w:r>
        <w:t>At time instant t</w:t>
      </w:r>
      <w:r>
        <w:rPr>
          <w:vertAlign w:val="subscript"/>
        </w:rPr>
        <w:t>1</w:t>
      </w:r>
      <w:r>
        <w:t xml:space="preserve">, the Neighbour Cell </w:t>
      </w:r>
      <w:proofErr w:type="spellStart"/>
      <w:r>
        <w:t>fulfills</w:t>
      </w:r>
      <w:proofErr w:type="spellEnd"/>
      <w:r>
        <w:t xml:space="preserve"> the entering criterion of the A3_prep measurement event, namely the Neighbour Cell is less than </w:t>
      </w:r>
      <w:bookmarkStart w:id="4" w:name="_Hlk78268260"/>
      <w:r>
        <w:t xml:space="preserve">A3_prep_offset </w:t>
      </w:r>
      <w:bookmarkEnd w:id="4"/>
      <w:r>
        <w:t xml:space="preserve">below serving cell (Cell 1) signal strength. If the measurements continuously </w:t>
      </w:r>
      <w:proofErr w:type="spellStart"/>
      <w:r>
        <w:t>fulfill</w:t>
      </w:r>
      <w:proofErr w:type="spellEnd"/>
      <w:r>
        <w:t xml:space="preserve"> the conditions for the time-to-trigger (TTT), this event will be reported to the serving cell.</w:t>
      </w:r>
    </w:p>
    <w:p w14:paraId="3109E80C" w14:textId="77777777" w:rsidR="009C4DBA" w:rsidRDefault="009C4DBA" w:rsidP="009C4DBA">
      <w:pPr>
        <w:spacing w:after="120"/>
        <w:rPr>
          <w:lang w:val="en-US"/>
        </w:rPr>
      </w:pPr>
      <w:r>
        <w:rPr>
          <w:lang w:val="en-US"/>
        </w:rPr>
        <w:t xml:space="preserve">At time </w:t>
      </w:r>
      <w:r>
        <w:t>instant t</w:t>
      </w:r>
      <w:r>
        <w:rPr>
          <w:vertAlign w:val="subscript"/>
        </w:rPr>
        <w:t>2</w:t>
      </w:r>
      <w:r>
        <w:rPr>
          <w:lang w:val="en-US"/>
        </w:rPr>
        <w:t xml:space="preserve">, the </w:t>
      </w:r>
      <w:r w:rsidRPr="00603C22">
        <w:rPr>
          <w:lang w:val="en-US"/>
        </w:rPr>
        <w:t xml:space="preserve">TTT </w:t>
      </w:r>
      <w:r>
        <w:rPr>
          <w:lang w:val="en-US"/>
        </w:rPr>
        <w:t xml:space="preserve">timer </w:t>
      </w:r>
      <w:r w:rsidRPr="00603C22">
        <w:rPr>
          <w:lang w:val="en-US"/>
        </w:rPr>
        <w:t>exp</w:t>
      </w:r>
      <w:r>
        <w:rPr>
          <w:lang w:val="en-US"/>
        </w:rPr>
        <w:t>i</w:t>
      </w:r>
      <w:r w:rsidRPr="00603C22">
        <w:rPr>
          <w:lang w:val="en-US"/>
        </w:rPr>
        <w:t>re</w:t>
      </w:r>
      <w:r>
        <w:rPr>
          <w:lang w:val="en-US"/>
        </w:rPr>
        <w:t xml:space="preserve">s which means that the </w:t>
      </w:r>
      <w:proofErr w:type="spellStart"/>
      <w:r w:rsidRPr="00603C22">
        <w:rPr>
          <w:lang w:val="en-US"/>
        </w:rPr>
        <w:t>neighbo</w:t>
      </w:r>
      <w:r>
        <w:rPr>
          <w:lang w:val="en-US"/>
        </w:rPr>
        <w:t>u</w:t>
      </w:r>
      <w:r w:rsidRPr="00603C22">
        <w:rPr>
          <w:lang w:val="en-US"/>
        </w:rPr>
        <w:t>r</w:t>
      </w:r>
      <w:r>
        <w:rPr>
          <w:lang w:val="en-US"/>
        </w:rPr>
        <w:t>ing</w:t>
      </w:r>
      <w:proofErr w:type="spellEnd"/>
      <w:r w:rsidRPr="00603C22">
        <w:rPr>
          <w:lang w:val="en-US"/>
        </w:rPr>
        <w:t xml:space="preserve"> signal</w:t>
      </w:r>
      <w:r>
        <w:rPr>
          <w:lang w:val="en-US"/>
        </w:rPr>
        <w:t xml:space="preserve"> strength</w:t>
      </w:r>
      <w:r w:rsidRPr="00603C22">
        <w:rPr>
          <w:lang w:val="en-US"/>
        </w:rPr>
        <w:t xml:space="preserve"> fulfill</w:t>
      </w:r>
      <w:r>
        <w:rPr>
          <w:lang w:val="en-US"/>
        </w:rPr>
        <w:t>s</w:t>
      </w:r>
      <w:r w:rsidRPr="00603C22">
        <w:rPr>
          <w:lang w:val="en-US"/>
        </w:rPr>
        <w:t xml:space="preserve"> the criterion over </w:t>
      </w:r>
      <w:proofErr w:type="gramStart"/>
      <w:r w:rsidRPr="00603C22">
        <w:rPr>
          <w:lang w:val="en-US"/>
        </w:rPr>
        <w:t>TTT</w:t>
      </w:r>
      <w:proofErr w:type="gramEnd"/>
      <w:r w:rsidRPr="00603C22">
        <w:rPr>
          <w:lang w:val="en-US"/>
        </w:rPr>
        <w:t xml:space="preserve"> and UE </w:t>
      </w:r>
      <w:r>
        <w:rPr>
          <w:lang w:val="en-US"/>
        </w:rPr>
        <w:t>has to</w:t>
      </w:r>
      <w:r w:rsidRPr="00603C22">
        <w:rPr>
          <w:lang w:val="en-US"/>
        </w:rPr>
        <w:t xml:space="preserve"> sen</w:t>
      </w:r>
      <w:r>
        <w:rPr>
          <w:lang w:val="en-US"/>
        </w:rPr>
        <w:t>d</w:t>
      </w:r>
      <w:r w:rsidRPr="00603C22">
        <w:rPr>
          <w:lang w:val="en-US"/>
        </w:rPr>
        <w:t xml:space="preserve"> </w:t>
      </w:r>
      <w:r>
        <w:rPr>
          <w:lang w:val="en-US"/>
        </w:rPr>
        <w:t xml:space="preserve">a </w:t>
      </w:r>
      <w:r w:rsidRPr="00603C22">
        <w:rPr>
          <w:lang w:val="en-US"/>
        </w:rPr>
        <w:t>measurement event report</w:t>
      </w:r>
      <w:r>
        <w:rPr>
          <w:lang w:val="en-US"/>
        </w:rPr>
        <w:t xml:space="preserve">. However, in NR-U a UE, before accessing the shared channel, </w:t>
      </w:r>
      <w:proofErr w:type="gramStart"/>
      <w:r>
        <w:rPr>
          <w:lang w:val="en-US"/>
        </w:rPr>
        <w:t>has to</w:t>
      </w:r>
      <w:proofErr w:type="gramEnd"/>
      <w:r>
        <w:rPr>
          <w:lang w:val="en-US"/>
        </w:rPr>
        <w:t xml:space="preserve"> first perform an LBT to meet the co-existence requirements. In this example, we assume that UE performs LBT which fails continuously until time instance </w:t>
      </w:r>
      <w:r>
        <w:t>instant t</w:t>
      </w:r>
      <w:r>
        <w:rPr>
          <w:vertAlign w:val="subscript"/>
        </w:rPr>
        <w:t>3</w:t>
      </w:r>
      <w:r>
        <w:t>. Therefore, t</w:t>
      </w:r>
      <w:r>
        <w:rPr>
          <w:vertAlign w:val="subscript"/>
        </w:rPr>
        <w:t xml:space="preserve">2 </w:t>
      </w:r>
      <w:r w:rsidRPr="00BF7360">
        <w:rPr>
          <w:lang w:val="en-US"/>
        </w:rPr>
        <w:t>is the first instance</w:t>
      </w:r>
      <w:r>
        <w:rPr>
          <w:lang w:val="en-US"/>
        </w:rPr>
        <w:t xml:space="preserve"> when UE would have wanted to </w:t>
      </w:r>
      <w:r>
        <w:rPr>
          <w:lang w:val="en-US"/>
        </w:rPr>
        <w:lastRenderedPageBreak/>
        <w:t xml:space="preserve">send the measurement report to the network and </w:t>
      </w:r>
      <w:r>
        <w:t>t</w:t>
      </w:r>
      <w:r>
        <w:rPr>
          <w:vertAlign w:val="subscript"/>
        </w:rPr>
        <w:t>3</w:t>
      </w:r>
      <w:r>
        <w:t xml:space="preserve"> </w:t>
      </w:r>
      <w:r>
        <w:rPr>
          <w:lang w:val="en-US"/>
        </w:rPr>
        <w:t xml:space="preserve">is the actual time when UE succeeded to send the report. </w:t>
      </w:r>
      <w:proofErr w:type="gramStart"/>
      <w:r>
        <w:rPr>
          <w:lang w:val="en-US"/>
        </w:rPr>
        <w:t>Therefore</w:t>
      </w:r>
      <w:proofErr w:type="gramEnd"/>
      <w:r>
        <w:rPr>
          <w:lang w:val="en-US"/>
        </w:rPr>
        <w:t xml:space="preserve"> the time </w:t>
      </w:r>
      <w:r>
        <w:t>t</w:t>
      </w:r>
      <w:r>
        <w:rPr>
          <w:vertAlign w:val="subscript"/>
        </w:rPr>
        <w:t>3</w:t>
      </w:r>
      <w:r>
        <w:t>-t</w:t>
      </w:r>
      <w:r>
        <w:rPr>
          <w:vertAlign w:val="subscript"/>
        </w:rPr>
        <w:t>2</w:t>
      </w:r>
      <w:r>
        <w:t xml:space="preserve"> shows the amount of accumulated delay related to failed LBT attempts by the UE to send the measurement report.</w:t>
      </w:r>
    </w:p>
    <w:p w14:paraId="6417DA6A" w14:textId="77777777" w:rsidR="009C4DBA" w:rsidRDefault="009C4DBA" w:rsidP="009C4DBA">
      <w:pPr>
        <w:spacing w:after="120"/>
      </w:pPr>
      <w:r>
        <w:t>Subsequently, the network starts the preparation phase with preparing the target cell(s). Since measurement event report includes a list of Neighbour Cell measurements, it is up to the network to decide how many target cells it prepares. As an example, it can prepare either only Cell 2 (green line) or only Cell 3 (yellow line) or both of those cells. The time taken in preparation is illustrated by the blue area and is calculated as t</w:t>
      </w:r>
      <w:r>
        <w:rPr>
          <w:vertAlign w:val="subscript"/>
        </w:rPr>
        <w:t>4</w:t>
      </w:r>
      <w:r>
        <w:t>-t</w:t>
      </w:r>
      <w:r>
        <w:rPr>
          <w:vertAlign w:val="subscript"/>
        </w:rPr>
        <w:t>3</w:t>
      </w:r>
      <w:r>
        <w:t xml:space="preserve">.  </w:t>
      </w:r>
    </w:p>
    <w:p w14:paraId="02230E58" w14:textId="77777777" w:rsidR="009C4DBA" w:rsidRPr="00E856B8" w:rsidRDefault="009C4DBA" w:rsidP="009C4DBA">
      <w:pPr>
        <w:spacing w:after="120"/>
      </w:pPr>
      <w:r>
        <w:t xml:space="preserve">At </w:t>
      </w:r>
      <w:r>
        <w:rPr>
          <w:lang w:val="en-US"/>
        </w:rPr>
        <w:t xml:space="preserve">time </w:t>
      </w:r>
      <w:r>
        <w:t>instant t</w:t>
      </w:r>
      <w:r>
        <w:rPr>
          <w:vertAlign w:val="subscript"/>
        </w:rPr>
        <w:t>4</w:t>
      </w:r>
      <w:r>
        <w:rPr>
          <w:lang w:val="en-US"/>
        </w:rPr>
        <w:t xml:space="preserve">, </w:t>
      </w:r>
      <w:r>
        <w:t xml:space="preserve">Handover preparation has been completed and UE </w:t>
      </w:r>
      <w:proofErr w:type="gramStart"/>
      <w:r>
        <w:t>has to</w:t>
      </w:r>
      <w:proofErr w:type="gramEnd"/>
      <w:r>
        <w:t xml:space="preserve"> be configured for handover execution with an </w:t>
      </w:r>
      <w:proofErr w:type="spellStart"/>
      <w:r w:rsidRPr="00E32971">
        <w:t>RRCConfiguration</w:t>
      </w:r>
      <w:proofErr w:type="spellEnd"/>
      <w:r w:rsidRPr="00E32971">
        <w:t xml:space="preserve"> w/ </w:t>
      </w:r>
      <w:proofErr w:type="spellStart"/>
      <w:r w:rsidRPr="00E32971">
        <w:t>condRRCReconfig</w:t>
      </w:r>
      <w:proofErr w:type="spellEnd"/>
      <w:r>
        <w:t xml:space="preserve"> message. Even though time instant t</w:t>
      </w:r>
      <w:r>
        <w:rPr>
          <w:vertAlign w:val="subscript"/>
        </w:rPr>
        <w:t>4</w:t>
      </w:r>
      <w:r>
        <w:rPr>
          <w:lang w:val="en-US"/>
        </w:rPr>
        <w:t xml:space="preserve"> is t</w:t>
      </w:r>
      <w:r>
        <w:t>he f</w:t>
      </w:r>
      <w:r w:rsidRPr="00E32971">
        <w:t>irst attempt</w:t>
      </w:r>
      <w:r>
        <w:t xml:space="preserve"> to send the message, if channel is occupied by another node operating on the same unlicensed band, it will not be possible. Instead, this may lead to another waiting period due to LBT attempts which will delay the UE configuration message. Assume that </w:t>
      </w:r>
      <w:r>
        <w:rPr>
          <w:lang w:val="en-US"/>
        </w:rPr>
        <w:t>s</w:t>
      </w:r>
      <w:r w:rsidRPr="00AD297A">
        <w:rPr>
          <w:lang w:val="en-US"/>
        </w:rPr>
        <w:t xml:space="preserve">uccessful transmission of </w:t>
      </w:r>
      <w:r>
        <w:rPr>
          <w:lang w:val="en-US"/>
        </w:rPr>
        <w:t xml:space="preserve">the </w:t>
      </w:r>
      <w:r w:rsidRPr="00AD297A">
        <w:rPr>
          <w:lang w:val="en-US"/>
        </w:rPr>
        <w:t>configuration message after</w:t>
      </w:r>
      <w:r>
        <w:rPr>
          <w:lang w:val="en-US"/>
        </w:rPr>
        <w:t xml:space="preserve"> the waiting time due to LBT happens at </w:t>
      </w:r>
      <w:r>
        <w:t>t</w:t>
      </w:r>
      <w:proofErr w:type="gramStart"/>
      <w:r>
        <w:rPr>
          <w:vertAlign w:val="subscript"/>
        </w:rPr>
        <w:t>5</w:t>
      </w:r>
      <w:r w:rsidRPr="00AD297A">
        <w:rPr>
          <w:lang w:val="en-US"/>
        </w:rPr>
        <w:t>.</w:t>
      </w:r>
      <w:r>
        <w:rPr>
          <w:lang w:val="en-US"/>
        </w:rPr>
        <w:t>Then</w:t>
      </w:r>
      <w:proofErr w:type="gramEnd"/>
      <w:r>
        <w:rPr>
          <w:lang w:val="en-US"/>
        </w:rPr>
        <w:t xml:space="preserve"> the downlink delay caused at gNB due to LBT </w:t>
      </w:r>
      <w:r>
        <w:t>is captured by t</w:t>
      </w:r>
      <w:r w:rsidRPr="00AD297A">
        <w:rPr>
          <w:vertAlign w:val="subscript"/>
        </w:rPr>
        <w:t>5</w:t>
      </w:r>
      <w:r>
        <w:t>-t</w:t>
      </w:r>
      <w:r w:rsidRPr="00AD297A">
        <w:rPr>
          <w:vertAlign w:val="subscript"/>
        </w:rPr>
        <w:t>4</w:t>
      </w:r>
      <w:r>
        <w:t>.</w:t>
      </w:r>
      <w:r>
        <w:rPr>
          <w:lang w:val="en-US"/>
        </w:rPr>
        <w:t xml:space="preserve"> After </w:t>
      </w:r>
      <w:r>
        <w:t>t</w:t>
      </w:r>
      <w:r w:rsidRPr="00AD297A">
        <w:rPr>
          <w:vertAlign w:val="subscript"/>
        </w:rPr>
        <w:t>5</w:t>
      </w:r>
      <w:r>
        <w:rPr>
          <w:vertAlign w:val="subscript"/>
        </w:rPr>
        <w:t xml:space="preserve"> </w:t>
      </w:r>
      <w:r w:rsidRPr="00AD297A">
        <w:rPr>
          <w:lang w:val="en-US"/>
        </w:rPr>
        <w:t>UE evaluat</w:t>
      </w:r>
      <w:r>
        <w:rPr>
          <w:lang w:val="en-US"/>
        </w:rPr>
        <w:t>es</w:t>
      </w:r>
      <w:r w:rsidRPr="00AD297A">
        <w:rPr>
          <w:lang w:val="en-US"/>
        </w:rPr>
        <w:t xml:space="preserve"> the target cell according to </w:t>
      </w:r>
      <w:r>
        <w:rPr>
          <w:lang w:val="en-US"/>
        </w:rPr>
        <w:t xml:space="preserve">the </w:t>
      </w:r>
      <w:r w:rsidRPr="00AD297A">
        <w:rPr>
          <w:lang w:val="en-US"/>
        </w:rPr>
        <w:t xml:space="preserve">execution trigger criterion. This could be another A3 event, like in our example, </w:t>
      </w:r>
      <w:r>
        <w:t xml:space="preserve">A3_exec_offset. </w:t>
      </w:r>
    </w:p>
    <w:p w14:paraId="15EA06C9" w14:textId="77777777" w:rsidR="009C4DBA" w:rsidRDefault="009C4DBA" w:rsidP="009C4DBA">
      <w:pPr>
        <w:spacing w:after="120"/>
      </w:pPr>
      <w:r>
        <w:t>Suppose that Cell 3 (yellow line) fulfils the entering condition and could be prepared with first event reporting. At t</w:t>
      </w:r>
      <w:r>
        <w:rPr>
          <w:vertAlign w:val="subscript"/>
        </w:rPr>
        <w:t>6</w:t>
      </w:r>
      <w:r>
        <w:t xml:space="preserve"> preparation is completed. Preparation should not start too early since it could lead to unnecessary cell preparations with waste of resources. However, the additional channel access delays due to LBT make it difficult for the network to determine or predict when to start the preparation. Channel access delay due to LBT can be much longer than anticipated which could lead to UE failure if CHO configuration for execution is too late.  </w:t>
      </w:r>
    </w:p>
    <w:p w14:paraId="4E130511" w14:textId="77777777" w:rsidR="009C4DBA" w:rsidRDefault="009C4DBA" w:rsidP="009C4DBA">
      <w:pPr>
        <w:spacing w:after="120"/>
      </w:pPr>
      <w:r>
        <w:t xml:space="preserve">At </w:t>
      </w:r>
      <w:r>
        <w:rPr>
          <w:lang w:val="en-US"/>
        </w:rPr>
        <w:t xml:space="preserve">time </w:t>
      </w:r>
      <w:r>
        <w:t>instant t</w:t>
      </w:r>
      <w:r>
        <w:rPr>
          <w:vertAlign w:val="subscript"/>
        </w:rPr>
        <w:t>7</w:t>
      </w:r>
      <w:r>
        <w:rPr>
          <w:lang w:val="en-US"/>
        </w:rPr>
        <w:t>, C</w:t>
      </w:r>
      <w:r>
        <w:t xml:space="preserve">ell 3 fulfils the entering condition for handover execution which is determined through the A3_exec_offset. Measurement criterion is observed for TTT time before the handover is finally triggered. Next, the UE will detach from the Serving Cell (blue line) and will sync with the new target cell through a RACH procedure (2-step or 4-step RACH procedure). </w:t>
      </w:r>
    </w:p>
    <w:p w14:paraId="4AB648EC" w14:textId="77777777" w:rsidR="009C4DBA" w:rsidRDefault="009C4DBA" w:rsidP="009C4DBA">
      <w:pPr>
        <w:spacing w:after="120"/>
        <w:rPr>
          <w:lang w:val="en-US"/>
        </w:rPr>
      </w:pPr>
      <w:r>
        <w:t xml:space="preserve">At </w:t>
      </w:r>
      <w:r>
        <w:rPr>
          <w:lang w:val="en-US"/>
        </w:rPr>
        <w:t xml:space="preserve">time </w:t>
      </w:r>
      <w:r>
        <w:t>instant t</w:t>
      </w:r>
      <w:r>
        <w:rPr>
          <w:vertAlign w:val="subscript"/>
        </w:rPr>
        <w:t>8</w:t>
      </w:r>
      <w:r>
        <w:rPr>
          <w:lang w:val="en-US"/>
        </w:rPr>
        <w:t xml:space="preserve">, the UE disconnects from the Serving Cell (blue line) and performs LBT to initiate its RACH procedure. This will lead to an additional uplink channel delay due to LBT. Assuming 2-step RACH in </w:t>
      </w:r>
      <w:r w:rsidRPr="006A7F69">
        <w:rPr>
          <w:bCs/>
        </w:rPr>
        <w:fldChar w:fldCharType="begin"/>
      </w:r>
      <w:r w:rsidRPr="006A7F69">
        <w:rPr>
          <w:bCs/>
        </w:rPr>
        <w:instrText xml:space="preserve"> REF _Ref71280697 \h  \* MERGEFORMAT </w:instrText>
      </w:r>
      <w:r w:rsidRPr="006A7F69">
        <w:rPr>
          <w:bCs/>
        </w:rPr>
      </w:r>
      <w:r w:rsidRPr="006A7F69">
        <w:rPr>
          <w:bCs/>
        </w:rPr>
        <w:fldChar w:fldCharType="separate"/>
      </w:r>
      <w:r w:rsidRPr="006A7F69">
        <w:rPr>
          <w:bCs/>
        </w:rPr>
        <w:t>Figure 1</w:t>
      </w:r>
      <w:r w:rsidRPr="006A7F69">
        <w:rPr>
          <w:bCs/>
        </w:rPr>
        <w:fldChar w:fldCharType="end"/>
      </w:r>
      <w:r>
        <w:rPr>
          <w:bCs/>
        </w:rPr>
        <w:t>,</w:t>
      </w:r>
      <w:r>
        <w:rPr>
          <w:lang w:val="en-US"/>
        </w:rPr>
        <w:t xml:space="preserve"> MSGA is successful before </w:t>
      </w:r>
      <w:r>
        <w:t>t</w:t>
      </w:r>
      <w:r>
        <w:rPr>
          <w:vertAlign w:val="subscript"/>
        </w:rPr>
        <w:t>9</w:t>
      </w:r>
      <w:r>
        <w:rPr>
          <w:lang w:val="en-US"/>
        </w:rPr>
        <w:t>, when gNB performs LBT to send MSGB in the DL. gNB finally manages to successfully send MSGB after another channel access waiting time in the downlink (</w:t>
      </w:r>
      <w:r w:rsidRPr="00AD297A">
        <w:t>t</w:t>
      </w:r>
      <w:r w:rsidRPr="00A82269">
        <w:rPr>
          <w:vertAlign w:val="subscript"/>
        </w:rPr>
        <w:t>10</w:t>
      </w:r>
      <w:r w:rsidRPr="00AD297A">
        <w:t xml:space="preserve"> – t</w:t>
      </w:r>
      <w:r w:rsidRPr="00A82269">
        <w:rPr>
          <w:vertAlign w:val="subscript"/>
        </w:rPr>
        <w:t>9</w:t>
      </w:r>
      <w:r>
        <w:t>)</w:t>
      </w:r>
      <w:r>
        <w:rPr>
          <w:lang w:val="en-US"/>
        </w:rPr>
        <w:t>.</w:t>
      </w:r>
    </w:p>
    <w:p w14:paraId="4E186737" w14:textId="77777777" w:rsidR="009C4DBA" w:rsidRDefault="009C4DBA" w:rsidP="009C4DBA">
      <w:pPr>
        <w:spacing w:after="120"/>
      </w:pPr>
      <w:r>
        <w:rPr>
          <w:lang w:val="en-US"/>
        </w:rPr>
        <w:t xml:space="preserve">The example illustrates that in NR-U, there can be significant delays both in the uplink and downlink direction. In the uplink the delays are due to UE LBT and in the downlink the delays are introduced by the network when it performs LBT for its own transmissions. Since LBT may be performed and may fail many times before channel access is granted, the delays are additive. The induced delays may include one or more failed LBT attempts and </w:t>
      </w:r>
      <w:r>
        <w:t xml:space="preserve">can be responsible for RLFs during the handover process. The error cause </w:t>
      </w:r>
      <w:proofErr w:type="spellStart"/>
      <w:r w:rsidRPr="00506EDA">
        <w:rPr>
          <w:i/>
          <w:iCs/>
        </w:rPr>
        <w:t>lbtFailure</w:t>
      </w:r>
      <w:proofErr w:type="spellEnd"/>
      <w:r>
        <w:t xml:space="preserve"> in the RLF is reported by a UE if it detects consistent uplink LBT failures. For an RLF report with cause </w:t>
      </w:r>
      <w:proofErr w:type="spellStart"/>
      <w:r w:rsidRPr="00B938D9">
        <w:rPr>
          <w:i/>
          <w:iCs/>
        </w:rPr>
        <w:t>lbtFailure</w:t>
      </w:r>
      <w:proofErr w:type="spellEnd"/>
      <w:r>
        <w:t xml:space="preserve"> is a clear indication that the failure does not result from handover parameter setting and, therefore, MRO would not help either. However, in general, MRO cannot know if RLF happened due to the additional delays introduced by LBT and LBT failures which do not directly result in </w:t>
      </w:r>
      <w:proofErr w:type="spellStart"/>
      <w:r w:rsidRPr="00B938D9">
        <w:rPr>
          <w:i/>
          <w:iCs/>
        </w:rPr>
        <w:t>lbtFailure</w:t>
      </w:r>
      <w:proofErr w:type="spellEnd"/>
      <w:r>
        <w:t xml:space="preserve">. The induced delays may depend on the cell load situation or on the channel access method. Therefore, the LBT waiting periods can also be negligible in which case the failures can be due to real mobility failures where MRO could help in NR-U also.  </w:t>
      </w:r>
    </w:p>
    <w:p w14:paraId="193C8EE3" w14:textId="77777777" w:rsidR="009C4DBA" w:rsidRPr="00506EDA" w:rsidRDefault="009C4DBA" w:rsidP="009C4DBA">
      <w:pPr>
        <w:rPr>
          <w:b/>
          <w:bCs/>
          <w:iCs/>
          <w:lang w:val="en-US"/>
        </w:rPr>
      </w:pPr>
      <w:r w:rsidRPr="00506EDA">
        <w:rPr>
          <w:b/>
          <w:bCs/>
          <w:iCs/>
          <w:lang w:val="en-US"/>
        </w:rPr>
        <w:t>Observation</w:t>
      </w:r>
      <w:r>
        <w:rPr>
          <w:b/>
          <w:bCs/>
          <w:iCs/>
          <w:lang w:val="en-US"/>
        </w:rPr>
        <w:t xml:space="preserve"> 2-1</w:t>
      </w:r>
      <w:r w:rsidRPr="00506EDA">
        <w:rPr>
          <w:b/>
          <w:bCs/>
          <w:iCs/>
          <w:lang w:val="en-US"/>
        </w:rPr>
        <w:t>: With current mechanisms and UE reporting</w:t>
      </w:r>
      <w:r>
        <w:rPr>
          <w:b/>
          <w:bCs/>
          <w:iCs/>
          <w:lang w:val="en-US"/>
        </w:rPr>
        <w:t>, a</w:t>
      </w:r>
      <w:r w:rsidRPr="00506EDA">
        <w:rPr>
          <w:b/>
          <w:bCs/>
          <w:iCs/>
          <w:lang w:val="en-US"/>
        </w:rPr>
        <w:t xml:space="preserve"> network does not know </w:t>
      </w:r>
      <w:r>
        <w:rPr>
          <w:b/>
          <w:bCs/>
          <w:iCs/>
          <w:lang w:val="en-US"/>
        </w:rPr>
        <w:t>if the mobility related failures are due to the waiting time introduced by LBT and, therefore, if an MRO solution is applicable.</w:t>
      </w:r>
      <w:r w:rsidRPr="00506EDA">
        <w:rPr>
          <w:b/>
          <w:bCs/>
          <w:iCs/>
          <w:lang w:val="en-US"/>
        </w:rPr>
        <w:t xml:space="preserve"> </w:t>
      </w:r>
    </w:p>
    <w:p w14:paraId="43424F24" w14:textId="77777777" w:rsidR="009C4DBA" w:rsidRDefault="009C4DBA" w:rsidP="009C4DBA">
      <w:pPr>
        <w:rPr>
          <w:b/>
          <w:bCs/>
          <w:iCs/>
          <w:lang w:val="en-US"/>
        </w:rPr>
      </w:pPr>
      <w:r w:rsidRPr="00506EDA">
        <w:rPr>
          <w:b/>
          <w:bCs/>
          <w:iCs/>
          <w:lang w:val="en-US"/>
        </w:rPr>
        <w:t>Observation</w:t>
      </w:r>
      <w:r>
        <w:rPr>
          <w:b/>
          <w:bCs/>
          <w:iCs/>
          <w:lang w:val="en-US"/>
        </w:rPr>
        <w:t xml:space="preserve"> 2-2</w:t>
      </w:r>
      <w:r w:rsidRPr="00506EDA">
        <w:rPr>
          <w:b/>
          <w:bCs/>
          <w:iCs/>
          <w:lang w:val="en-US"/>
        </w:rPr>
        <w:t xml:space="preserve">: </w:t>
      </w:r>
      <w:proofErr w:type="gramStart"/>
      <w:r w:rsidRPr="00506EDA">
        <w:rPr>
          <w:b/>
          <w:bCs/>
          <w:iCs/>
          <w:lang w:val="en-US"/>
        </w:rPr>
        <w:t>In order to</w:t>
      </w:r>
      <w:proofErr w:type="gramEnd"/>
      <w:r w:rsidRPr="00506EDA">
        <w:rPr>
          <w:b/>
          <w:bCs/>
          <w:iCs/>
          <w:lang w:val="en-US"/>
        </w:rPr>
        <w:t xml:space="preserve"> support MRO in NR-U, </w:t>
      </w:r>
      <w:r>
        <w:rPr>
          <w:b/>
          <w:bCs/>
          <w:iCs/>
          <w:lang w:val="en-US"/>
        </w:rPr>
        <w:t xml:space="preserve">network needs </w:t>
      </w:r>
      <w:r w:rsidRPr="00506EDA">
        <w:rPr>
          <w:b/>
          <w:bCs/>
          <w:iCs/>
          <w:lang w:val="en-US"/>
        </w:rPr>
        <w:t xml:space="preserve">more information </w:t>
      </w:r>
      <w:r>
        <w:rPr>
          <w:b/>
          <w:bCs/>
          <w:iCs/>
          <w:lang w:val="en-US"/>
        </w:rPr>
        <w:t xml:space="preserve">about the LBT impacts in the RLF report </w:t>
      </w:r>
      <w:r w:rsidRPr="00506EDA">
        <w:rPr>
          <w:b/>
          <w:bCs/>
          <w:iCs/>
          <w:lang w:val="en-US"/>
        </w:rPr>
        <w:t>(details are FFS).</w:t>
      </w:r>
    </w:p>
    <w:p w14:paraId="61E2E627" w14:textId="77777777" w:rsidR="009C4DBA" w:rsidRPr="00506EDA" w:rsidRDefault="009C4DBA" w:rsidP="009C4DBA">
      <w:pPr>
        <w:rPr>
          <w:b/>
          <w:bCs/>
          <w:iCs/>
          <w:lang w:val="en-US"/>
        </w:rPr>
      </w:pPr>
      <w:r>
        <w:rPr>
          <w:b/>
          <w:bCs/>
          <w:iCs/>
          <w:lang w:val="en-US"/>
        </w:rPr>
        <w:t>Observation 2-3: Mobility process consists of both UL and DL signaling which might be affected by LBT and is, therefore, to be measured and logged at UE or network, respectively.</w:t>
      </w:r>
    </w:p>
    <w:p w14:paraId="58A44A59" w14:textId="77777777" w:rsidR="009C4DBA" w:rsidRPr="002514BC" w:rsidRDefault="009C4DBA" w:rsidP="009C4DBA">
      <w:pPr>
        <w:rPr>
          <w:b/>
          <w:bCs/>
        </w:rPr>
      </w:pPr>
      <w:r w:rsidRPr="00506EDA">
        <w:rPr>
          <w:b/>
          <w:bCs/>
          <w:iCs/>
          <w:lang w:val="en-US"/>
        </w:rPr>
        <w:t>Proposal</w:t>
      </w:r>
      <w:r>
        <w:rPr>
          <w:b/>
          <w:bCs/>
          <w:iCs/>
          <w:lang w:val="en-US"/>
        </w:rPr>
        <w:t xml:space="preserve"> 2-1</w:t>
      </w:r>
      <w:r w:rsidRPr="00506EDA">
        <w:rPr>
          <w:b/>
          <w:bCs/>
          <w:iCs/>
          <w:lang w:val="en-US"/>
        </w:rPr>
        <w:t>: We propose to send an LS to RAN2 to ask</w:t>
      </w:r>
      <w:bookmarkStart w:id="5" w:name="_Hlk85670576"/>
      <w:r w:rsidRPr="00506EDA">
        <w:rPr>
          <w:b/>
          <w:bCs/>
          <w:iCs/>
          <w:lang w:val="en-US"/>
        </w:rPr>
        <w:t xml:space="preserve"> RAN2 to further study the need of additional</w:t>
      </w:r>
      <w:r>
        <w:rPr>
          <w:b/>
          <w:bCs/>
          <w:iCs/>
          <w:lang w:val="en-US"/>
        </w:rPr>
        <w:t xml:space="preserve"> UE measurements in the RLF report for the purpose of improving the NR-U MRO solution. Measuring and logging of waiting time information at the </w:t>
      </w:r>
      <w:r w:rsidRPr="00506EDA">
        <w:rPr>
          <w:b/>
          <w:bCs/>
          <w:iCs/>
          <w:lang w:val="en-US"/>
        </w:rPr>
        <w:t xml:space="preserve">UE </w:t>
      </w:r>
      <w:r>
        <w:rPr>
          <w:b/>
          <w:bCs/>
          <w:iCs/>
          <w:lang w:val="en-US"/>
        </w:rPr>
        <w:t>in the RLF report seem necessary for NR-U MRO</w:t>
      </w:r>
      <w:r w:rsidRPr="00506EDA">
        <w:rPr>
          <w:b/>
          <w:bCs/>
          <w:iCs/>
          <w:lang w:val="en-US"/>
        </w:rPr>
        <w:t>.</w:t>
      </w:r>
      <w:bookmarkEnd w:id="5"/>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529121E2" w:rsidR="002F4257" w:rsidRDefault="002F4257" w:rsidP="00D20DF3">
      <w:pPr>
        <w:jc w:val="both"/>
        <w:rPr>
          <w:bCs/>
        </w:rPr>
      </w:pPr>
      <w:r>
        <w:rPr>
          <w:bCs/>
        </w:rPr>
        <w:t>In this paper,</w:t>
      </w:r>
      <w:r w:rsidR="000D7942">
        <w:rPr>
          <w:bCs/>
        </w:rPr>
        <w:t xml:space="preserve"> we address the “FFS” statements left after the last meeting related to the load reporting for MLB. We also address the MRO part of the discussion.</w:t>
      </w:r>
    </w:p>
    <w:p w14:paraId="24CDB83D" w14:textId="2315DA74" w:rsidR="000D7942" w:rsidRDefault="000D7942" w:rsidP="00D20DF3">
      <w:pPr>
        <w:jc w:val="both"/>
        <w:rPr>
          <w:bCs/>
        </w:rPr>
      </w:pPr>
      <w:r>
        <w:rPr>
          <w:bCs/>
        </w:rPr>
        <w:t>Regarding the MLB, we make following proposals:</w:t>
      </w:r>
    </w:p>
    <w:p w14:paraId="7456959A" w14:textId="77777777" w:rsidR="009C4DBA" w:rsidRPr="009C4DBA" w:rsidRDefault="009C4DBA" w:rsidP="009C4DBA">
      <w:pPr>
        <w:ind w:left="284"/>
        <w:jc w:val="both"/>
        <w:rPr>
          <w:bCs/>
        </w:rPr>
      </w:pPr>
      <w:r w:rsidRPr="009C4DBA">
        <w:rPr>
          <w:bCs/>
        </w:rPr>
        <w:lastRenderedPageBreak/>
        <w:t>Proposal 1-1: NR-U medium occupancy is used.</w:t>
      </w:r>
    </w:p>
    <w:p w14:paraId="38B62B1C" w14:textId="15E86411" w:rsidR="009C4DBA" w:rsidRPr="009C4DBA" w:rsidRDefault="009C4DBA" w:rsidP="009C4DBA">
      <w:pPr>
        <w:ind w:left="284"/>
        <w:jc w:val="both"/>
        <w:rPr>
          <w:bCs/>
        </w:rPr>
      </w:pPr>
      <w:r w:rsidRPr="009C4DBA">
        <w:rPr>
          <w:bCs/>
        </w:rPr>
        <w:t>Proposal 1-2: RAN3 may assume the NR-U measurements are made per 20</w:t>
      </w:r>
      <w:r>
        <w:rPr>
          <w:bCs/>
        </w:rPr>
        <w:t> </w:t>
      </w:r>
      <w:r w:rsidRPr="009C4DBA">
        <w:rPr>
          <w:bCs/>
        </w:rPr>
        <w:t>MHz NR channel. RAN3 may consult RAN1 and RAN2, if needed.</w:t>
      </w:r>
    </w:p>
    <w:p w14:paraId="186A4E5D" w14:textId="3FA095E2" w:rsidR="000D7942" w:rsidRDefault="009C4DBA" w:rsidP="009C4DBA">
      <w:pPr>
        <w:ind w:left="284"/>
        <w:jc w:val="both"/>
        <w:rPr>
          <w:bCs/>
        </w:rPr>
      </w:pPr>
      <w:r w:rsidRPr="009C4DBA">
        <w:rPr>
          <w:bCs/>
        </w:rPr>
        <w:t xml:space="preserve">Proposal 1-3: It is clarified that the occupancy indication is based on the percentage of time during which the medium is considered “busy” (energy is exceeding </w:t>
      </w:r>
      <w:proofErr w:type="spellStart"/>
      <w:r w:rsidRPr="009C4DBA">
        <w:rPr>
          <w:bCs/>
        </w:rPr>
        <w:t>X</w:t>
      </w:r>
      <w:r w:rsidRPr="009C4DBA">
        <w:rPr>
          <w:bCs/>
          <w:vertAlign w:val="subscript"/>
        </w:rPr>
        <w:t>Thresh</w:t>
      </w:r>
      <w:proofErr w:type="spellEnd"/>
      <w:r w:rsidRPr="009C4DBA">
        <w:rPr>
          <w:bCs/>
        </w:rPr>
        <w:t xml:space="preserve"> level). RAN3 may consult RAN1 and RAN2, if needed.</w:t>
      </w:r>
    </w:p>
    <w:p w14:paraId="066BA280" w14:textId="6B406C79" w:rsidR="000D7942" w:rsidRDefault="000D7942" w:rsidP="000D7942">
      <w:pPr>
        <w:jc w:val="both"/>
        <w:rPr>
          <w:bCs/>
        </w:rPr>
      </w:pPr>
      <w:r>
        <w:rPr>
          <w:bCs/>
        </w:rPr>
        <w:t>For MRO, we have two observations and a proposal:</w:t>
      </w:r>
    </w:p>
    <w:p w14:paraId="0690F1A0" w14:textId="77777777" w:rsidR="009C4DBA" w:rsidRPr="009C4DBA" w:rsidRDefault="009C4DBA" w:rsidP="009C4DBA">
      <w:pPr>
        <w:ind w:left="284"/>
        <w:rPr>
          <w:iCs/>
          <w:lang w:val="en-US"/>
        </w:rPr>
      </w:pPr>
      <w:r w:rsidRPr="009C4DBA">
        <w:rPr>
          <w:iCs/>
          <w:lang w:val="en-US"/>
        </w:rPr>
        <w:t xml:space="preserve">Observation 2-1: With current mechanisms and UE reporting, a network does not know if the mobility related failures are due to the waiting time introduced by LBT and, therefore, if an MRO solution is applicable. </w:t>
      </w:r>
    </w:p>
    <w:p w14:paraId="01923582" w14:textId="77777777" w:rsidR="009C4DBA" w:rsidRPr="009C4DBA" w:rsidRDefault="009C4DBA" w:rsidP="009C4DBA">
      <w:pPr>
        <w:ind w:left="284"/>
        <w:rPr>
          <w:iCs/>
          <w:lang w:val="en-US"/>
        </w:rPr>
      </w:pPr>
      <w:r w:rsidRPr="009C4DBA">
        <w:rPr>
          <w:iCs/>
          <w:lang w:val="en-US"/>
        </w:rPr>
        <w:t xml:space="preserve">Observation 2-2: </w:t>
      </w:r>
      <w:proofErr w:type="gramStart"/>
      <w:r w:rsidRPr="009C4DBA">
        <w:rPr>
          <w:iCs/>
          <w:lang w:val="en-US"/>
        </w:rPr>
        <w:t>In order to</w:t>
      </w:r>
      <w:proofErr w:type="gramEnd"/>
      <w:r w:rsidRPr="009C4DBA">
        <w:rPr>
          <w:iCs/>
          <w:lang w:val="en-US"/>
        </w:rPr>
        <w:t xml:space="preserve"> support MRO in NR-U, network needs more information about the LBT impacts in the RLF report (details are FFS).</w:t>
      </w:r>
    </w:p>
    <w:p w14:paraId="611B8069" w14:textId="77777777" w:rsidR="009C4DBA" w:rsidRPr="009C4DBA" w:rsidRDefault="009C4DBA" w:rsidP="009C4DBA">
      <w:pPr>
        <w:ind w:left="284"/>
        <w:rPr>
          <w:iCs/>
          <w:lang w:val="en-US"/>
        </w:rPr>
      </w:pPr>
      <w:r w:rsidRPr="009C4DBA">
        <w:rPr>
          <w:iCs/>
          <w:lang w:val="en-US"/>
        </w:rPr>
        <w:t>Observation 2-3: Mobility process consists of both UL and DL signaling which might be affected by LBT and is, therefore, to be measured and logged at UE or network, respectively.</w:t>
      </w:r>
    </w:p>
    <w:p w14:paraId="512AF0D3" w14:textId="771A2139" w:rsidR="000D7942" w:rsidRPr="000D7942" w:rsidRDefault="009C4DBA" w:rsidP="009C4DBA">
      <w:pPr>
        <w:ind w:left="284"/>
      </w:pPr>
      <w:r w:rsidRPr="009C4DBA">
        <w:rPr>
          <w:iCs/>
          <w:lang w:val="en-US"/>
        </w:rPr>
        <w:t>Proposal 2-1: We propose to send an LS to RAN2 to ask RAN2 to further study the need of additional UE measurements in the RLF report for the purpose of improving the NR-U MRO solution. Measuring and logging of waiting time information at the UE in the RLF report seem necessary for NR-U MRO.</w:t>
      </w:r>
    </w:p>
    <w:p w14:paraId="4B425A8E" w14:textId="00EB5E86" w:rsidR="008E4B71" w:rsidRDefault="008E4B71" w:rsidP="008E4B71">
      <w:pPr>
        <w:jc w:val="both"/>
        <w:rPr>
          <w:bCs/>
        </w:rPr>
      </w:pPr>
      <w:r>
        <w:rPr>
          <w:bCs/>
        </w:rPr>
        <w:t>Draft of the LS is proposed below.</w:t>
      </w:r>
    </w:p>
    <w:p w14:paraId="483F8717" w14:textId="77777777" w:rsidR="00403B9B" w:rsidRPr="000665EA" w:rsidRDefault="00403B9B" w:rsidP="00403B9B">
      <w:pPr>
        <w:pStyle w:val="Heading1"/>
      </w:pPr>
      <w:r w:rsidRPr="000665EA">
        <w:t>References</w:t>
      </w:r>
    </w:p>
    <w:p w14:paraId="65C3740D" w14:textId="48E5CC13" w:rsidR="002F4257" w:rsidRPr="000665EA" w:rsidRDefault="00CF100B" w:rsidP="008A3464">
      <w:pPr>
        <w:numPr>
          <w:ilvl w:val="0"/>
          <w:numId w:val="4"/>
        </w:numPr>
        <w:overflowPunct w:val="0"/>
        <w:autoSpaceDE w:val="0"/>
        <w:autoSpaceDN w:val="0"/>
        <w:adjustRightInd w:val="0"/>
        <w:textAlignment w:val="baseline"/>
      </w:pPr>
      <w:r w:rsidRPr="00CF100B">
        <w:t>R3-214328</w:t>
      </w:r>
      <w:r>
        <w:t>, RAN3 #113</w:t>
      </w:r>
    </w:p>
    <w:p w14:paraId="20E6753D" w14:textId="48992122" w:rsidR="008E4B71" w:rsidRDefault="008E4B71" w:rsidP="008E4B71">
      <w:pPr>
        <w:pStyle w:val="Heading1"/>
      </w:pPr>
      <w:r>
        <w:t>Annex – Draft LS to RAN2</w:t>
      </w:r>
    </w:p>
    <w:p w14:paraId="442C7808" w14:textId="77777777" w:rsidR="008E4B71" w:rsidRDefault="008E4B71" w:rsidP="008E4B71"/>
    <w:p w14:paraId="6537A421" w14:textId="77777777" w:rsidR="009C4DBA" w:rsidRPr="008C57BB" w:rsidRDefault="009C4DBA" w:rsidP="009C4DBA">
      <w:pPr>
        <w:spacing w:after="120"/>
        <w:rPr>
          <w:rFonts w:ascii="Calibri" w:hAnsi="Calibri" w:cs="Arial"/>
          <w:b/>
          <w:sz w:val="22"/>
          <w:szCs w:val="22"/>
        </w:rPr>
      </w:pPr>
      <w:r w:rsidRPr="008C57BB">
        <w:rPr>
          <w:rFonts w:ascii="Calibri" w:hAnsi="Calibri" w:cs="Arial"/>
          <w:b/>
          <w:sz w:val="22"/>
          <w:szCs w:val="22"/>
        </w:rPr>
        <w:t>1. Overall Description:</w:t>
      </w:r>
    </w:p>
    <w:p w14:paraId="22A06D2B" w14:textId="4323500D" w:rsidR="009C4DBA" w:rsidRPr="008C57BB" w:rsidRDefault="009C4DBA" w:rsidP="009C4DBA">
      <w:pPr>
        <w:spacing w:after="120"/>
        <w:rPr>
          <w:rFonts w:ascii="Calibri" w:hAnsi="Calibri" w:cs="Arial"/>
          <w:sz w:val="22"/>
          <w:szCs w:val="22"/>
        </w:rPr>
      </w:pPr>
      <w:r w:rsidRPr="008C57BB">
        <w:t xml:space="preserve">Mobility Robustness Optimization (MRO) aims to optimize the handover parameters being responsible for the optimal timing of the handover process. MRO may utilize RLF reports by analysing the causes of radio link failures and handover failures. In NR-U, access in the uplink and downlink can be delayed due to LBT. The error cause </w:t>
      </w:r>
      <w:proofErr w:type="spellStart"/>
      <w:r w:rsidRPr="008C57BB">
        <w:rPr>
          <w:i/>
          <w:iCs/>
        </w:rPr>
        <w:t>lbtFailure</w:t>
      </w:r>
      <w:proofErr w:type="spellEnd"/>
      <w:r w:rsidRPr="008C57BB">
        <w:t xml:space="preserve"> in the RLF is reported by a UE if it detects consistent uplink LBT failures. For an RLF report with cause </w:t>
      </w:r>
      <w:proofErr w:type="spellStart"/>
      <w:r w:rsidRPr="008C57BB">
        <w:rPr>
          <w:i/>
          <w:iCs/>
        </w:rPr>
        <w:t>lbtFailure</w:t>
      </w:r>
      <w:proofErr w:type="spellEnd"/>
      <w:r w:rsidRPr="008C57BB">
        <w:t xml:space="preserve"> is a clear indication that the failure does not result from handover parameter setting and, therefore, MRO would not help either. However, in general, MRO applied in CHO, cannot know if RLF happened due to the additional delays introduced by LBT and LBT failures which do not directly result in </w:t>
      </w:r>
      <w:proofErr w:type="spellStart"/>
      <w:r w:rsidRPr="008C57BB">
        <w:rPr>
          <w:i/>
          <w:iCs/>
        </w:rPr>
        <w:t>lbtFailure</w:t>
      </w:r>
      <w:proofErr w:type="spellEnd"/>
      <w:r>
        <w:rPr>
          <w:i/>
          <w:iCs/>
        </w:rPr>
        <w:t xml:space="preserve"> </w:t>
      </w:r>
      <w:r w:rsidRPr="00D46B8C">
        <w:t>or</w:t>
      </w:r>
      <w:r>
        <w:t xml:space="preserve"> due to real mobility failures where MRO could help in NR-U also.</w:t>
      </w:r>
    </w:p>
    <w:p w14:paraId="7F88C2AA" w14:textId="77777777" w:rsidR="009C4DBA" w:rsidRPr="008C57BB" w:rsidRDefault="009C4DBA" w:rsidP="009C4DBA">
      <w:pPr>
        <w:spacing w:after="120"/>
        <w:rPr>
          <w:rFonts w:ascii="Calibri" w:hAnsi="Calibri" w:cs="Arial"/>
          <w:sz w:val="22"/>
          <w:szCs w:val="22"/>
        </w:rPr>
      </w:pPr>
    </w:p>
    <w:p w14:paraId="3CA0EEDE" w14:textId="5F554231" w:rsidR="009C4DBA" w:rsidRPr="008C57BB" w:rsidRDefault="009C4DBA" w:rsidP="009C4DBA">
      <w:pPr>
        <w:spacing w:after="120"/>
        <w:rPr>
          <w:rFonts w:ascii="Calibri" w:hAnsi="Calibri" w:cs="Arial"/>
          <w:b/>
          <w:sz w:val="22"/>
          <w:szCs w:val="22"/>
        </w:rPr>
      </w:pPr>
      <w:r w:rsidRPr="008C57BB">
        <w:rPr>
          <w:rFonts w:ascii="Calibri" w:hAnsi="Calibri" w:cs="Arial"/>
          <w:b/>
          <w:sz w:val="22"/>
          <w:szCs w:val="22"/>
        </w:rPr>
        <w:t>2. Actions:</w:t>
      </w:r>
    </w:p>
    <w:p w14:paraId="04F87EE9" w14:textId="69196AB9" w:rsidR="009C4DBA" w:rsidRPr="00506EDA" w:rsidRDefault="009C4DBA" w:rsidP="009C4DBA">
      <w:pPr>
        <w:rPr>
          <w:b/>
          <w:bCs/>
          <w:iCs/>
          <w:lang w:val="en-US"/>
        </w:rPr>
      </w:pPr>
      <w:r w:rsidRPr="008C57BB">
        <w:rPr>
          <w:rFonts w:ascii="Arial" w:hAnsi="Arial" w:cs="Arial"/>
          <w:b/>
        </w:rPr>
        <w:t xml:space="preserve">To RAN2: </w:t>
      </w:r>
      <w:r w:rsidR="00B61A29" w:rsidRPr="00B61A29">
        <w:rPr>
          <w:iCs/>
          <w:lang w:val="en-US"/>
        </w:rPr>
        <w:t>RAN3 kindly asks RAN2 to enable additional UE measurements in the RLF report for the purpose of improving the NR-U MRO solution: waiting time information caused by LBT related to mobility signaling and to the medium access</w:t>
      </w:r>
      <w:r w:rsidR="00B61A29">
        <w:rPr>
          <w:iCs/>
          <w:lang w:val="en-US"/>
        </w:rPr>
        <w:t>.</w:t>
      </w:r>
    </w:p>
    <w:p w14:paraId="01293442" w14:textId="7D7AA5CD" w:rsidR="0022219E" w:rsidRPr="009C4DBA" w:rsidRDefault="0022219E" w:rsidP="009C4DBA">
      <w:pPr>
        <w:spacing w:after="120"/>
        <w:rPr>
          <w:lang w:val="en-US"/>
        </w:rPr>
      </w:pPr>
    </w:p>
    <w:sectPr w:rsidR="0022219E" w:rsidRPr="009C4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28D30" w14:textId="77777777" w:rsidR="009B2A0A" w:rsidRDefault="009B2A0A">
      <w:r>
        <w:separator/>
      </w:r>
    </w:p>
  </w:endnote>
  <w:endnote w:type="continuationSeparator" w:id="0">
    <w:p w14:paraId="0DE301FC" w14:textId="77777777" w:rsidR="009B2A0A" w:rsidRDefault="009B2A0A">
      <w:r>
        <w:continuationSeparator/>
      </w:r>
    </w:p>
  </w:endnote>
  <w:endnote w:type="continuationNotice" w:id="1">
    <w:p w14:paraId="37A12061" w14:textId="77777777" w:rsidR="009B2A0A" w:rsidRDefault="009B2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94578" w14:textId="77777777" w:rsidR="009B2A0A" w:rsidRDefault="009B2A0A">
      <w:r>
        <w:separator/>
      </w:r>
    </w:p>
  </w:footnote>
  <w:footnote w:type="continuationSeparator" w:id="0">
    <w:p w14:paraId="4846E0F7" w14:textId="77777777" w:rsidR="009B2A0A" w:rsidRDefault="009B2A0A">
      <w:r>
        <w:continuationSeparator/>
      </w:r>
    </w:p>
  </w:footnote>
  <w:footnote w:type="continuationNotice" w:id="1">
    <w:p w14:paraId="142E1192" w14:textId="77777777" w:rsidR="009B2A0A" w:rsidRDefault="009B2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30"/>
  </w:num>
  <w:num w:numId="3">
    <w:abstractNumId w:val="14"/>
  </w:num>
  <w:num w:numId="4">
    <w:abstractNumId w:val="9"/>
  </w:num>
  <w:num w:numId="5">
    <w:abstractNumId w:val="10"/>
  </w:num>
  <w:num w:numId="6">
    <w:abstractNumId w:val="38"/>
  </w:num>
  <w:num w:numId="7">
    <w:abstractNumId w:val="24"/>
  </w:num>
  <w:num w:numId="8">
    <w:abstractNumId w:val="15"/>
  </w:num>
  <w:num w:numId="9">
    <w:abstractNumId w:val="37"/>
  </w:num>
  <w:num w:numId="10">
    <w:abstractNumId w:val="23"/>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5"/>
  </w:num>
  <w:num w:numId="29">
    <w:abstractNumId w:val="36"/>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4"/>
  </w:num>
  <w:num w:numId="37">
    <w:abstractNumId w:val="21"/>
  </w:num>
  <w:num w:numId="38">
    <w:abstractNumId w:val="28"/>
  </w:num>
  <w:num w:numId="39">
    <w:abstractNumId w:val="39"/>
  </w:num>
  <w:num w:numId="4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5853"/>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3A62"/>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C78EF"/>
    <w:rsid w:val="000D458F"/>
    <w:rsid w:val="000D4960"/>
    <w:rsid w:val="000D4D03"/>
    <w:rsid w:val="000D58AB"/>
    <w:rsid w:val="000D7942"/>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0408"/>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3B5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568A"/>
    <w:rsid w:val="001F63AE"/>
    <w:rsid w:val="001F6772"/>
    <w:rsid w:val="001F6925"/>
    <w:rsid w:val="002002E9"/>
    <w:rsid w:val="00201FD2"/>
    <w:rsid w:val="0020399F"/>
    <w:rsid w:val="00203B4C"/>
    <w:rsid w:val="002055E0"/>
    <w:rsid w:val="0020566E"/>
    <w:rsid w:val="002057BC"/>
    <w:rsid w:val="00205DCD"/>
    <w:rsid w:val="0021049E"/>
    <w:rsid w:val="0021199F"/>
    <w:rsid w:val="002152C3"/>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44C6"/>
    <w:rsid w:val="0024510A"/>
    <w:rsid w:val="002456E8"/>
    <w:rsid w:val="0024727F"/>
    <w:rsid w:val="00247E55"/>
    <w:rsid w:val="002510CE"/>
    <w:rsid w:val="002514BC"/>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69C"/>
    <w:rsid w:val="00334964"/>
    <w:rsid w:val="00334EE8"/>
    <w:rsid w:val="003368FA"/>
    <w:rsid w:val="003377F6"/>
    <w:rsid w:val="003413A2"/>
    <w:rsid w:val="00341736"/>
    <w:rsid w:val="00341FC1"/>
    <w:rsid w:val="003424D0"/>
    <w:rsid w:val="00342E82"/>
    <w:rsid w:val="003454FC"/>
    <w:rsid w:val="00345A35"/>
    <w:rsid w:val="00346189"/>
    <w:rsid w:val="00346E0E"/>
    <w:rsid w:val="003470D6"/>
    <w:rsid w:val="003474A6"/>
    <w:rsid w:val="00350B3A"/>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65673"/>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30F"/>
    <w:rsid w:val="003D59CD"/>
    <w:rsid w:val="003D68B5"/>
    <w:rsid w:val="003D7C4B"/>
    <w:rsid w:val="003E16BE"/>
    <w:rsid w:val="003E215C"/>
    <w:rsid w:val="003E6986"/>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088F"/>
    <w:rsid w:val="00424B9F"/>
    <w:rsid w:val="00426E7A"/>
    <w:rsid w:val="0043223E"/>
    <w:rsid w:val="00433E79"/>
    <w:rsid w:val="004366C3"/>
    <w:rsid w:val="00437774"/>
    <w:rsid w:val="0044028F"/>
    <w:rsid w:val="004446E8"/>
    <w:rsid w:val="0044513F"/>
    <w:rsid w:val="00446DBD"/>
    <w:rsid w:val="00450326"/>
    <w:rsid w:val="00450759"/>
    <w:rsid w:val="0045151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87530"/>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34FF"/>
    <w:rsid w:val="00526054"/>
    <w:rsid w:val="00526E01"/>
    <w:rsid w:val="00526F12"/>
    <w:rsid w:val="00530762"/>
    <w:rsid w:val="005323EE"/>
    <w:rsid w:val="00534DA0"/>
    <w:rsid w:val="00537356"/>
    <w:rsid w:val="005378E0"/>
    <w:rsid w:val="005411E7"/>
    <w:rsid w:val="00543E6C"/>
    <w:rsid w:val="00544ECE"/>
    <w:rsid w:val="005453BA"/>
    <w:rsid w:val="00552573"/>
    <w:rsid w:val="005536AB"/>
    <w:rsid w:val="00556793"/>
    <w:rsid w:val="0056341C"/>
    <w:rsid w:val="00565087"/>
    <w:rsid w:val="0056573F"/>
    <w:rsid w:val="00566445"/>
    <w:rsid w:val="00566D2C"/>
    <w:rsid w:val="005676E4"/>
    <w:rsid w:val="005731F4"/>
    <w:rsid w:val="00573616"/>
    <w:rsid w:val="005759A2"/>
    <w:rsid w:val="00575FE1"/>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5AC9"/>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2F47"/>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22E7"/>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2F1A"/>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3834"/>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5BF3"/>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C49"/>
    <w:rsid w:val="00893167"/>
    <w:rsid w:val="0089327F"/>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19E"/>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4B71"/>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2A0A"/>
    <w:rsid w:val="009B6C3A"/>
    <w:rsid w:val="009B7671"/>
    <w:rsid w:val="009C01DA"/>
    <w:rsid w:val="009C2009"/>
    <w:rsid w:val="009C2AB8"/>
    <w:rsid w:val="009C4014"/>
    <w:rsid w:val="009C4DBA"/>
    <w:rsid w:val="009C55D0"/>
    <w:rsid w:val="009C55E8"/>
    <w:rsid w:val="009C5D10"/>
    <w:rsid w:val="009C67DB"/>
    <w:rsid w:val="009C7DAE"/>
    <w:rsid w:val="009D0FF6"/>
    <w:rsid w:val="009D2318"/>
    <w:rsid w:val="009D30B7"/>
    <w:rsid w:val="009D73C0"/>
    <w:rsid w:val="009E24D9"/>
    <w:rsid w:val="009E3E1E"/>
    <w:rsid w:val="009E48B1"/>
    <w:rsid w:val="009E4BEE"/>
    <w:rsid w:val="009F056C"/>
    <w:rsid w:val="009F17BF"/>
    <w:rsid w:val="009F4335"/>
    <w:rsid w:val="009F482E"/>
    <w:rsid w:val="00A00DC2"/>
    <w:rsid w:val="00A01921"/>
    <w:rsid w:val="00A04F4E"/>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3D5"/>
    <w:rsid w:val="00A90B53"/>
    <w:rsid w:val="00A92977"/>
    <w:rsid w:val="00A95D85"/>
    <w:rsid w:val="00A95EC3"/>
    <w:rsid w:val="00A96374"/>
    <w:rsid w:val="00A9671C"/>
    <w:rsid w:val="00AA0C38"/>
    <w:rsid w:val="00AA0F95"/>
    <w:rsid w:val="00AA2EC0"/>
    <w:rsid w:val="00AA4AF2"/>
    <w:rsid w:val="00AA4E8F"/>
    <w:rsid w:val="00AA53C6"/>
    <w:rsid w:val="00AB0E66"/>
    <w:rsid w:val="00AB0EE8"/>
    <w:rsid w:val="00AB14C4"/>
    <w:rsid w:val="00AB30AE"/>
    <w:rsid w:val="00AB3B76"/>
    <w:rsid w:val="00AB43B1"/>
    <w:rsid w:val="00AB7904"/>
    <w:rsid w:val="00AC01D1"/>
    <w:rsid w:val="00AC205B"/>
    <w:rsid w:val="00AC2C87"/>
    <w:rsid w:val="00AC30E3"/>
    <w:rsid w:val="00AC39D1"/>
    <w:rsid w:val="00AC4E7E"/>
    <w:rsid w:val="00AC773F"/>
    <w:rsid w:val="00AD0315"/>
    <w:rsid w:val="00AD48F3"/>
    <w:rsid w:val="00AD6538"/>
    <w:rsid w:val="00AE0FAB"/>
    <w:rsid w:val="00AE131B"/>
    <w:rsid w:val="00AE1816"/>
    <w:rsid w:val="00AE283D"/>
    <w:rsid w:val="00AE4D66"/>
    <w:rsid w:val="00AE5120"/>
    <w:rsid w:val="00AF04A4"/>
    <w:rsid w:val="00AF248A"/>
    <w:rsid w:val="00AF3F37"/>
    <w:rsid w:val="00AF3F7E"/>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E0"/>
    <w:rsid w:val="00B46DFA"/>
    <w:rsid w:val="00B472AE"/>
    <w:rsid w:val="00B47B4C"/>
    <w:rsid w:val="00B53026"/>
    <w:rsid w:val="00B573A0"/>
    <w:rsid w:val="00B575B7"/>
    <w:rsid w:val="00B57BFF"/>
    <w:rsid w:val="00B61A29"/>
    <w:rsid w:val="00B61D56"/>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0CB0"/>
    <w:rsid w:val="00C01A56"/>
    <w:rsid w:val="00C01E2A"/>
    <w:rsid w:val="00C025B4"/>
    <w:rsid w:val="00C063E2"/>
    <w:rsid w:val="00C10D1A"/>
    <w:rsid w:val="00C10EDD"/>
    <w:rsid w:val="00C149EE"/>
    <w:rsid w:val="00C152E8"/>
    <w:rsid w:val="00C16011"/>
    <w:rsid w:val="00C1677D"/>
    <w:rsid w:val="00C17BCE"/>
    <w:rsid w:val="00C2008C"/>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45F0"/>
    <w:rsid w:val="00C47484"/>
    <w:rsid w:val="00C5249E"/>
    <w:rsid w:val="00C5434A"/>
    <w:rsid w:val="00C600BD"/>
    <w:rsid w:val="00C60947"/>
    <w:rsid w:val="00C622CD"/>
    <w:rsid w:val="00C64429"/>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100B"/>
    <w:rsid w:val="00CF23EC"/>
    <w:rsid w:val="00CF23EE"/>
    <w:rsid w:val="00CF2409"/>
    <w:rsid w:val="00CF2AF3"/>
    <w:rsid w:val="00CF4536"/>
    <w:rsid w:val="00CF47EC"/>
    <w:rsid w:val="00CF56AB"/>
    <w:rsid w:val="00CF5CB9"/>
    <w:rsid w:val="00CF6B19"/>
    <w:rsid w:val="00CF6FED"/>
    <w:rsid w:val="00D00574"/>
    <w:rsid w:val="00D007C0"/>
    <w:rsid w:val="00D018BE"/>
    <w:rsid w:val="00D01AEB"/>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0108"/>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441E"/>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408A"/>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482"/>
    <w:rsid w:val="00F36DA6"/>
    <w:rsid w:val="00F37743"/>
    <w:rsid w:val="00F402FC"/>
    <w:rsid w:val="00F4160A"/>
    <w:rsid w:val="00F418AD"/>
    <w:rsid w:val="00F41BFB"/>
    <w:rsid w:val="00F41D6C"/>
    <w:rsid w:val="00F42D7E"/>
    <w:rsid w:val="00F4454A"/>
    <w:rsid w:val="00F456C3"/>
    <w:rsid w:val="00F47591"/>
    <w:rsid w:val="00F50F3A"/>
    <w:rsid w:val="00F54760"/>
    <w:rsid w:val="00F54A3D"/>
    <w:rsid w:val="00F56DDF"/>
    <w:rsid w:val="00F57E74"/>
    <w:rsid w:val="00F609E8"/>
    <w:rsid w:val="00F62A26"/>
    <w:rsid w:val="00F6361F"/>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F17FE89E-A98C-482A-8B95-2DB231C73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locked/>
    <w:rsid w:val="00163B58"/>
    <w:rPr>
      <w:rFonts w:ascii="Arial" w:hAnsi="Arial"/>
      <w:sz w:val="18"/>
      <w:lang w:val="en-GB" w:eastAsia="en-US"/>
    </w:rPr>
  </w:style>
  <w:style w:type="character" w:customStyle="1" w:styleId="TAHChar">
    <w:name w:val="TAH Char"/>
    <w:qFormat/>
    <w:rsid w:val="00163B58"/>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80225208">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5AIRPNAIUNRU-1156379521-2530</_dlc_DocId>
    <_dlc_DocIdUrl xmlns="71c5aaf6-e6ce-465b-b873-5148d2a4c105">
      <Url>https://nokia.sharepoint.com/sites/c5g/e2earch/_layouts/15/DocIdRedir.aspx?ID=5AIRPNAIUNRU-1156379521-2530</Url>
      <Description>5AIRPNAIUNRU-1156379521-2530</Description>
    </_dlc_DocIdUrl>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5DD5E489-5282-46BE-871C-68D0C98ED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5</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15121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RAN3 kindly asks RAN2 to enable additional UE measurements in the RLF report for the purpose of improving the NR-U MRO solution: waiting time information caused by LBT related to mobility signaling and to the medium access</dc:title>
  <dc:subject>3GPP RAN3 #114-e</dc:subject>
  <dc:creator>Benoist Sébire</dc:creator>
  <cp:keywords>&lt;keyword[, keyword, ]&gt;</cp:keywords>
  <dc:description/>
  <cp:lastModifiedBy>Kordybach, Krzysztof (Nokia - PL/Wroclaw)</cp:lastModifiedBy>
  <cp:revision>79</cp:revision>
  <cp:lastPrinted>2019-03-27T15:16:00Z</cp:lastPrinted>
  <dcterms:created xsi:type="dcterms:W3CDTF">2019-10-03T21:07:00Z</dcterms:created>
  <dcterms:modified xsi:type="dcterms:W3CDTF">2021-10-21T15:08:00Z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9d02ef4b-d9aa-4111-9c96-565a89be5a5f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